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02" w:lineRule="auto"/>
        <w:ind w:left="3122" w:right="1195" w:hanging="1933"/>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Programme de travail général du XXIe Congrès international chinois sur l'échange de talents</w:t>
      </w:r>
    </w:p>
    <w:bookmarkEnd w:id="0"/>
    <w:p>
      <w:pPr>
        <w:spacing w:line="446" w:lineRule="auto"/>
        <w:rPr>
          <w:rFonts w:ascii="Arial"/>
          <w:sz w:val="21"/>
        </w:rPr>
      </w:pPr>
    </w:p>
    <w:p>
      <w:pPr>
        <w:spacing w:before="101" w:line="333" w:lineRule="auto"/>
        <w:ind w:left="2" w:firstLine="642"/>
        <w:rPr>
          <w:rFonts w:ascii="仿宋" w:hAnsi="仿宋" w:eastAsia="仿宋" w:cs="仿宋"/>
          <w:sz w:val="31"/>
          <w:szCs w:val="31"/>
        </w:rPr>
      </w:pPr>
      <w:r>
        <w:rPr>
          <w:rFonts w:ascii="仿宋" w:hAnsi="仿宋" w:eastAsia="仿宋" w:cs="仿宋"/>
          <w:spacing w:val="-10"/>
          <w:sz w:val="31"/>
          <w:szCs w:val="31"/>
        </w:rPr>
        <w:t>La vingt et unième Conférence internationale sur l'échange de talents en Chine (ci - après dénommée la Conférence) se tiendra à Shenzhen les 15 et 16 avril 2023. L'année 2023 est une année importante pour l'ouverture de la construction complète de l'État socialiste moderne, la marche vers les objectifs du deuxième centenaire, le début de la mise en œuvre en profondeur de l'esprit des Vingt principes du parti et l'année cruciale de la réforme du système scientifique et technologique de notre pays pour accélérer le rythme vers la profondeur. Élaborez ce programme pour le premier Congrès du parti après le vingtième Congrès.</w:t>
      </w:r>
    </w:p>
    <w:p>
      <w:pPr>
        <w:spacing w:line="513" w:lineRule="exact"/>
        <w:ind w:left="634"/>
        <w:rPr>
          <w:rFonts w:ascii="黑体" w:hAnsi="黑体" w:eastAsia="黑体" w:cs="黑体"/>
          <w:sz w:val="31"/>
          <w:szCs w:val="31"/>
        </w:rPr>
      </w:pPr>
      <w:r>
        <w:rPr>
          <w:rFonts w:ascii="黑体" w:hAnsi="黑体" w:eastAsia="黑体" w:cs="黑体"/>
          <w:spacing w:val="-1"/>
          <w:position w:val="4"/>
          <w:sz w:val="31"/>
          <w:szCs w:val="31"/>
        </w:rPr>
        <w:t>I. pensée directrice</w:t>
      </w:r>
    </w:p>
    <w:p>
      <w:pPr>
        <w:spacing w:before="49" w:line="335" w:lineRule="auto"/>
        <w:ind w:right="136" w:firstLine="672"/>
        <w:jc w:val="right"/>
        <w:rPr>
          <w:rFonts w:ascii="仿宋" w:hAnsi="仿宋" w:eastAsia="仿宋" w:cs="仿宋"/>
          <w:sz w:val="31"/>
          <w:szCs w:val="31"/>
        </w:rPr>
      </w:pPr>
      <w:r>
        <w:rPr>
          <w:rFonts w:ascii="仿宋" w:hAnsi="仿宋" w:eastAsia="仿宋" w:cs="仿宋"/>
          <w:spacing w:val="-1"/>
          <w:sz w:val="31"/>
          <w:szCs w:val="31"/>
        </w:rPr>
        <w:t>  L'Assemblée générale s'articulera étroitement autour du thème "promouvoir l'innovation scientifique et technologique, favoriser le développement commun et favoriser les talents mondiaux", adhérer aux principes de l'Organisation frugale et de l'intégrité des réunions, s'appuyer sur l'internationalisation, la spécialisation, la faible teneur en carbone, l'informatisation et la commercialisation, élargir La coopération ouverte dans le domaine de la science et de la technologie, renforcer la direction de l'innovation, la force matérielle, la force motrice, la force de soutien, la dynamique de la source, créer un environnement écologique favorable à l'innovation des talents, Construire une plate - forme d'innovation scientifique et technologique internationale attrayante et une plate - forme d'échange de talents, soutenir la technologie, le commerce de produits de vulgarisation scientifique et la transformation de la technologie et du transfert de résultats, continuer à jouer la chaîne industrielle, la chaîne d'innovation, la chaîne de talents, la chaîne de valeur, la synergie et la promotion mutuelle</w:t>
      </w:r>
    </w:p>
    <w:p>
      <w:pPr>
        <w:sectPr>
          <w:footerReference r:id="rId5" w:type="default"/>
          <w:pgSz w:w="11906" w:h="16839"/>
          <w:pgMar w:top="400" w:right="1461" w:bottom="1151" w:left="1593" w:header="0" w:footer="991"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01" w:line="334" w:lineRule="auto"/>
        <w:ind w:left="9" w:right="224" w:hanging="6"/>
        <w:rPr>
          <w:rFonts w:ascii="仿宋" w:hAnsi="仿宋" w:eastAsia="仿宋" w:cs="仿宋"/>
          <w:sz w:val="31"/>
          <w:szCs w:val="31"/>
        </w:rPr>
      </w:pPr>
      <w:r>
        <w:rPr>
          <w:rFonts w:ascii="仿宋" w:hAnsi="仿宋" w:eastAsia="仿宋" w:cs="仿宋"/>
          <w:spacing w:val="-10"/>
          <w:sz w:val="31"/>
          <w:szCs w:val="31"/>
        </w:rPr>
        <w:t>L'effet global. Main dans la main, toutes les parties partagent les « opportunités de la Chine» en matière de progrès scientifique et technologique et de développement innovant, accélérant la construction d'une écologie ouverte et innovante et d'une communauté de destin humain.</w:t>
      </w:r>
    </w:p>
    <w:p>
      <w:pPr>
        <w:spacing w:line="416" w:lineRule="exact"/>
        <w:ind w:left="625"/>
        <w:rPr>
          <w:rFonts w:ascii="黑体" w:hAnsi="黑体" w:eastAsia="黑体" w:cs="黑体"/>
          <w:sz w:val="31"/>
          <w:szCs w:val="31"/>
        </w:rPr>
      </w:pPr>
      <w:r>
        <w:rPr>
          <w:rFonts w:ascii="黑体" w:hAnsi="黑体" w:eastAsia="黑体" w:cs="黑体"/>
          <w:spacing w:val="-1"/>
          <w:position w:val="2"/>
          <w:sz w:val="31"/>
          <w:szCs w:val="31"/>
        </w:rPr>
        <w:t>II. Heure et lieu</w:t>
      </w:r>
    </w:p>
    <w:p>
      <w:pPr>
        <w:spacing w:before="147" w:line="222" w:lineRule="auto"/>
        <w:ind w:left="650"/>
        <w:rPr>
          <w:rFonts w:ascii="仿宋" w:hAnsi="仿宋" w:eastAsia="仿宋" w:cs="仿宋"/>
          <w:sz w:val="31"/>
          <w:szCs w:val="31"/>
        </w:rPr>
      </w:pPr>
      <w:r>
        <w:rPr>
          <w:rFonts w:ascii="仿宋" w:hAnsi="仿宋" w:eastAsia="仿宋" w:cs="仿宋"/>
          <w:spacing w:val="-10"/>
          <w:sz w:val="31"/>
          <w:szCs w:val="31"/>
        </w:rPr>
        <w:t>Quand: 15 - 16 avril 2023</w:t>
      </w:r>
    </w:p>
    <w:p>
      <w:pPr>
        <w:spacing w:before="185" w:line="224" w:lineRule="auto"/>
        <w:ind w:left="617"/>
        <w:rPr>
          <w:rFonts w:ascii="仿宋" w:hAnsi="仿宋" w:eastAsia="仿宋" w:cs="仿宋"/>
          <w:sz w:val="31"/>
          <w:szCs w:val="31"/>
        </w:rPr>
      </w:pPr>
      <w:r>
        <w:rPr>
          <w:rFonts w:ascii="仿宋" w:hAnsi="仿宋" w:eastAsia="仿宋" w:cs="仿宋"/>
          <w:spacing w:val="-8"/>
          <w:sz w:val="31"/>
          <w:szCs w:val="31"/>
        </w:rPr>
        <w:t xml:space="preserve">Lieu: Shenzhen Convention and Exhibition Center Hall 1 - 6, salles de réunion, niveaux 5 et 6</w:t>
      </w:r>
    </w:p>
    <w:p>
      <w:pPr>
        <w:spacing w:before="181" w:line="241" w:lineRule="auto"/>
        <w:ind w:left="626"/>
        <w:rPr>
          <w:rFonts w:ascii="黑体" w:hAnsi="黑体" w:eastAsia="黑体" w:cs="黑体"/>
          <w:sz w:val="31"/>
          <w:szCs w:val="31"/>
        </w:rPr>
      </w:pPr>
      <w:r>
        <w:rPr>
          <w:rFonts w:ascii="黑体" w:hAnsi="黑体" w:eastAsia="黑体" w:cs="黑体"/>
          <w:spacing w:val="-1"/>
          <w:sz w:val="31"/>
          <w:szCs w:val="31"/>
        </w:rPr>
        <w:t>Iii. Organisation</w:t>
      </w:r>
    </w:p>
    <w:p>
      <w:pPr>
        <w:spacing w:before="158" w:line="221" w:lineRule="auto"/>
        <w:ind w:left="634"/>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Organisateur: Ministère de la science et de la technologie (Bureau national des experts étrangers), Gouvernement populaire de Shenzhen</w:t>
      </w:r>
    </w:p>
    <w:p>
      <w:pPr>
        <w:spacing w:before="191" w:line="333" w:lineRule="auto"/>
        <w:ind w:left="5" w:firstLine="617"/>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Fournisseur: Centre d'échange international de talents de Chine, Centre d'échange scientifique et technologique de Chine, Conseil de l'innovation scientifique et technologique de Shenzhen (Bureau d'experts étrangers de Shenzhen), Bureau des ressources humaines et de la sécurité sociale de Shenzhen</w:t>
      </w:r>
    </w:p>
    <w:p>
      <w:pPr>
        <w:spacing w:line="221" w:lineRule="auto"/>
        <w:ind w:left="627"/>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Unité d'exécution: Shenzhen International Talent Exchange Centre</w:t>
      </w:r>
    </w:p>
    <w:p>
      <w:pPr>
        <w:spacing w:before="185" w:line="334" w:lineRule="auto"/>
        <w:ind w:right="92" w:firstLine="624"/>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Unités de coopération: provinces, régions autonomes, municipalités relevant directement de l'autorité centrale et municipalités à responsabilité unique du plan, Vice - départements provinciaux de la science et de la technologie urbaine (comités, bureaux), Bureau de la science et de la technologie du corps de la production et de la construction du Xinjiang (Bureau d'experts étrangers), Comité de surveillance et de gestion des actifs de l'État du Conseil des affaires d'État, Bureau du chef de la science et de la technologie des organismes directs du Conseil des affaires d'État (Département de zhi), unités des entreprises et des entreprises</w:t>
      </w:r>
    </w:p>
    <w:p>
      <w:pPr>
        <w:spacing w:line="232" w:lineRule="auto"/>
        <w:ind w:left="639"/>
        <w:rPr>
          <w:rFonts w:ascii="黑体" w:hAnsi="黑体" w:eastAsia="黑体" w:cs="黑体"/>
          <w:sz w:val="31"/>
          <w:szCs w:val="31"/>
        </w:rPr>
      </w:pPr>
      <w:r>
        <w:rPr>
          <w:rFonts w:ascii="黑体" w:hAnsi="黑体" w:eastAsia="黑体" w:cs="黑体"/>
          <w:spacing w:val="-3"/>
          <w:sz w:val="31"/>
          <w:szCs w:val="31"/>
        </w:rPr>
        <w:t>Iv. Principaux éléments</w:t>
      </w:r>
    </w:p>
    <w:p>
      <w:pPr>
        <w:spacing w:before="172" w:line="333" w:lineRule="auto"/>
        <w:ind w:left="16" w:right="131" w:firstLine="604"/>
        <w:rPr>
          <w:rFonts w:ascii="仿宋" w:hAnsi="仿宋" w:eastAsia="仿宋" w:cs="仿宋"/>
          <w:sz w:val="31"/>
          <w:szCs w:val="31"/>
        </w:rPr>
      </w:pPr>
      <w:r>
        <w:rPr>
          <w:rFonts w:ascii="仿宋" w:hAnsi="仿宋" w:eastAsia="仿宋" w:cs="仿宋"/>
          <w:spacing w:val="-5"/>
          <w:sz w:val="31"/>
          <w:szCs w:val="31"/>
        </w:rPr>
        <w:t>Le Congrès se poursuivra avec le modèle de conférence et d'exposition « bimoteur» qui intègre le développement hors ligne. L'exposition hors ligne dispose de 5 grands segments tels que la cérémonie d'ouverture, la réunion du Forum, la négociation d'exposition, le recrutement de talents, les événements thématiques, etc. l'exposition en ligne offre des services en ligne tels que la salle d'exposition virtuelle, la réunion du Forum, l'amarrage de projet, le recrutement en ligne et d'autres services en ligne.</w:t>
      </w:r>
    </w:p>
    <w:p>
      <w:pPr>
        <w:spacing w:line="229" w:lineRule="auto"/>
        <w:ind w:left="645"/>
        <w:rPr>
          <w:rFonts w:ascii="楷体" w:hAnsi="楷体" w:eastAsia="楷体" w:cs="楷体"/>
          <w:sz w:val="31"/>
          <w:szCs w:val="31"/>
        </w:rPr>
      </w:pPr>
      <w:r>
        <w:rPr>
          <w:rFonts w:ascii="楷体" w:hAnsi="楷体" w:eastAsia="楷体" w:cs="楷体"/>
          <w:spacing w:val="21"/>
          <w:sz w:val="31"/>
          <w:szCs w:val="31"/>
        </w:rPr>
        <w:t>(i) Expositions hors ligne</w:t>
      </w:r>
    </w:p>
    <w:p>
      <w:pPr>
        <w:spacing w:before="178" w:line="221" w:lineRule="auto"/>
        <w:ind w:left="628"/>
        <w:outlineLvl w:val="0"/>
        <w:rPr>
          <w:rFonts w:ascii="仿宋" w:hAnsi="仿宋" w:eastAsia="仿宋" w:cs="仿宋"/>
          <w:sz w:val="31"/>
          <w:szCs w:val="31"/>
        </w:rPr>
      </w:pPr>
      <w:r>
        <w:rPr>
          <w:rFonts w:ascii="Times New Roman" w:hAnsi="Times New Roman" w:eastAsia="Times New Roman" w:cs="Times New Roman"/>
          <w:b/>
          <w:bCs/>
          <w:spacing w:val="-3"/>
          <w:sz w:val="31"/>
          <w:szCs w:val="31"/>
        </w:rPr>
        <w:t>1. Cérémonie d'ouverture</w:t>
      </w:r>
    </w:p>
    <w:p>
      <w:pPr>
        <w:sectPr>
          <w:footerReference r:id="rId6" w:type="default"/>
          <w:pgSz w:w="11906" w:h="16839"/>
          <w:pgMar w:top="400" w:right="1373" w:bottom="1876" w:left="1602"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0" w:lineRule="auto"/>
        <w:ind w:left="635"/>
        <w:rPr>
          <w:rFonts w:ascii="仿宋" w:hAnsi="仿宋" w:eastAsia="仿宋" w:cs="仿宋"/>
          <w:sz w:val="31"/>
          <w:szCs w:val="31"/>
        </w:rPr>
      </w:pPr>
      <w:r>
        <w:rPr>
          <w:rFonts w:ascii="仿宋" w:hAnsi="仿宋" w:eastAsia="仿宋" w:cs="仿宋"/>
          <w:spacing w:val="1"/>
          <w:sz w:val="31"/>
          <w:szCs w:val="31"/>
        </w:rPr>
        <w:t>Les dirigeants concernés et les invités sont invités à prendre la parole lors de la cérémonie d'ouverture.</w:t>
      </w:r>
    </w:p>
    <w:p>
      <w:pPr>
        <w:spacing w:before="188" w:line="225" w:lineRule="auto"/>
        <w:ind w:left="626"/>
        <w:outlineLvl w:val="0"/>
        <w:rPr>
          <w:rFonts w:ascii="仿宋" w:hAnsi="仿宋" w:eastAsia="仿宋" w:cs="仿宋"/>
          <w:sz w:val="31"/>
          <w:szCs w:val="31"/>
        </w:rPr>
      </w:pPr>
      <w:r>
        <w:rPr>
          <w:rFonts w:ascii="Times New Roman" w:hAnsi="Times New Roman" w:eastAsia="Times New Roman" w:cs="Times New Roman"/>
          <w:b/>
          <w:bCs/>
          <w:spacing w:val="1"/>
          <w:sz w:val="31"/>
          <w:szCs w:val="31"/>
        </w:rPr>
        <w:t>2. Réunions du Forum</w:t>
      </w:r>
    </w:p>
    <w:p>
      <w:pPr>
        <w:spacing w:before="179" w:line="334" w:lineRule="auto"/>
        <w:ind w:left="14" w:firstLine="660"/>
        <w:rPr>
          <w:rFonts w:ascii="仿宋" w:hAnsi="仿宋" w:eastAsia="仿宋" w:cs="仿宋"/>
          <w:sz w:val="31"/>
          <w:szCs w:val="31"/>
        </w:rPr>
      </w:pPr>
      <w:r>
        <w:rPr>
          <w:rFonts w:ascii="仿宋" w:hAnsi="仿宋" w:eastAsia="仿宋" w:cs="仿宋"/>
          <w:spacing w:val="-14"/>
          <w:sz w:val="31"/>
          <w:szCs w:val="31"/>
        </w:rPr>
        <w:t>Dans le but de créer une coopération internationale en matière de science, de technologie et d'innovation et d'échange de talents internationaux dans le domaine de la « table de conférence» et du « cylindre vocal», l'Assemblée générale s'est concentrée sur la construction du Forum principal de Shenzhen en tant que noyau, sous - Forum, forum parallèle, Conférence thématique et système de conférence multipoint.</w:t>
      </w:r>
    </w:p>
    <w:p>
      <w:pPr>
        <w:spacing w:before="4" w:line="333" w:lineRule="auto"/>
        <w:ind w:right="6" w:firstLine="637"/>
        <w:rPr>
          <w:rFonts w:ascii="仿宋" w:hAnsi="仿宋" w:eastAsia="仿宋" w:cs="仿宋"/>
          <w:sz w:val="31"/>
          <w:szCs w:val="31"/>
        </w:rPr>
      </w:pPr>
      <w:r>
        <w:rPr>
          <w:rFonts w:ascii="仿宋" w:hAnsi="仿宋" w:eastAsia="仿宋" w:cs="仿宋"/>
          <w:spacing w:val="10"/>
          <w:sz w:val="31"/>
          <w:szCs w:val="31"/>
        </w:rPr>
        <w:t>Le Forum principal du Forum de Shenzhen, avec pour toile de fond la promotion de la coopération internationale bilatérale et multilatérale en matière de science, de technologie et d'innovation et l'échange de talents dans un environnement ouvert, met l'accent sur le renforcement de la force stratégique nationale en science et technologie, la construction de centres de talents d'importance mondiale et de hauts plateaux de l'innovation, l'amélioration de la capacité d'innovation technologique des entreprises, la stimulation de la vitalité des talents et de l'innovation, l'amélioration du mécanisme institutionnel de la science, de la technologie et de l' Des entrepreneurs de renom sont présents et mènent des échanges exploratoires.</w:t>
      </w:r>
    </w:p>
    <w:p>
      <w:pPr>
        <w:spacing w:before="5" w:line="333" w:lineRule="auto"/>
        <w:ind w:left="2" w:right="13" w:firstLine="635"/>
        <w:rPr>
          <w:rFonts w:ascii="仿宋" w:hAnsi="仿宋" w:eastAsia="仿宋" w:cs="仿宋"/>
          <w:sz w:val="31"/>
          <w:szCs w:val="31"/>
        </w:rPr>
      </w:pPr>
      <w:r>
        <w:rPr>
          <w:rFonts w:ascii="仿宋" w:hAnsi="仿宋" w:eastAsia="仿宋" w:cs="仿宋"/>
          <w:spacing w:val="10"/>
          <w:sz w:val="31"/>
          <w:szCs w:val="31"/>
        </w:rPr>
        <w:t>Forum de Shenzhen sous - Forum, forum parallèle, sessions thématiques autour des domaines clés du développement économique et social, axé sur la coopération scientifique et technologique, l'échange de talents, le vert à faible émission de carbone, la revitalisation rurale, la finance scientifique et technologique, l'intégration de la chaîne industrielle de l'innovation, la recherche technologique Disruptive et d'autres domaines de travail et de sujets chauds, afin d'organiser divers types de réunions de Forum thématique, colloques, échanges, etc. sous la forme d'invitations à des personnes concernées du secteur gouvernemental, des experts universitaires, des Les professionnels publient des politiques, promeuvent l'environnement, échangent des idées, promeuvent des idées, partagent des expériences.</w:t>
      </w:r>
    </w:p>
    <w:p>
      <w:pPr>
        <w:spacing w:before="2" w:line="223" w:lineRule="auto"/>
        <w:ind w:left="624"/>
        <w:outlineLvl w:val="0"/>
        <w:rPr>
          <w:rFonts w:ascii="仿宋" w:hAnsi="仿宋" w:eastAsia="仿宋" w:cs="仿宋"/>
          <w:sz w:val="31"/>
          <w:szCs w:val="31"/>
        </w:rPr>
      </w:pPr>
      <w:r>
        <w:rPr>
          <w:rFonts w:ascii="Times New Roman" w:hAnsi="Times New Roman" w:eastAsia="Times New Roman" w:cs="Times New Roman"/>
          <w:b/>
          <w:bCs/>
          <w:spacing w:val="2"/>
          <w:sz w:val="31"/>
          <w:szCs w:val="31"/>
        </w:rPr>
        <w:t>3. Négociations d'exposition</w:t>
      </w:r>
    </w:p>
    <w:p>
      <w:pPr>
        <w:spacing w:before="121" w:line="340" w:lineRule="auto"/>
        <w:ind w:left="4" w:right="88" w:firstLine="640"/>
        <w:rPr>
          <w:rFonts w:ascii="仿宋" w:hAnsi="仿宋" w:eastAsia="仿宋" w:cs="仿宋"/>
          <w:sz w:val="31"/>
          <w:szCs w:val="31"/>
        </w:rPr>
      </w:pPr>
      <w:r>
        <w:rPr>
          <w:rFonts w:ascii="仿宋" w:hAnsi="仿宋" w:eastAsia="仿宋" w:cs="仿宋"/>
          <w:spacing w:val="-2"/>
          <w:sz w:val="31"/>
          <w:szCs w:val="31"/>
        </w:rPr>
        <w:t>L'Assemblée générale a adopté la réforme structurelle du côté de l'offre comme ligne principale, axée sur la construction de la chaîne écologique innovante des services "recherche fondamentale + technologie + industrialisation des résultats + finance scientifique et technologique + soutien des talents", en mettant en place différents thèmes, différentes zones d'exposition fonctionnelles, l'Organisation de L'événement "Zhang Leading", l'Organisation sur place de toutes sortes d'événements de présentation, d'événements d'échange et d'autres moyens, Promouvoir le pays tout en présentant de manière multidimensionnelle des progrès positifs et des résultats importants dans les domaines de la coopération internationale en matière de science, de technologie et d'innovation et de l'échange international de talents</w:t>
      </w:r>
    </w:p>
    <w:p>
      <w:pPr>
        <w:sectPr>
          <w:footerReference r:id="rId7" w:type="default"/>
          <w:pgSz w:w="11906" w:h="16839"/>
          <w:pgMar w:top="400" w:right="1373" w:bottom="1873" w:left="1591"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01" w:line="333" w:lineRule="auto"/>
        <w:ind w:left="1" w:firstLine="52"/>
        <w:rPr>
          <w:rFonts w:ascii="仿宋" w:hAnsi="仿宋" w:eastAsia="仿宋" w:cs="仿宋"/>
          <w:sz w:val="31"/>
          <w:szCs w:val="31"/>
        </w:rPr>
      </w:pPr>
      <w:r>
        <w:rPr>
          <w:rFonts w:ascii="仿宋" w:hAnsi="仿宋" w:eastAsia="仿宋" w:cs="仿宋"/>
          <w:spacing w:val="-6"/>
          <w:sz w:val="31"/>
          <w:szCs w:val="31"/>
        </w:rPr>
        <w:t>Les unités exposantes internes et externes réalisent des collaborations, des échanges, des transactions de talents, de projets, de technologies, de produits, de services. L'objectif est de renforcer en permanence l'agrégation des éléments de ressources mondiales en science, technologie et innovation sur la base de l'intégration cohérente et de la promotion mutuelle, et d'améliorer l'efficacité et le niveau de la construction de nouveaux modèles de développement des services.</w:t>
      </w:r>
    </w:p>
    <w:p>
      <w:pPr>
        <w:spacing w:line="222" w:lineRule="auto"/>
        <w:ind w:left="625"/>
        <w:outlineLvl w:val="0"/>
        <w:rPr>
          <w:rFonts w:ascii="仿宋" w:hAnsi="仿宋" w:eastAsia="仿宋" w:cs="仿宋"/>
          <w:sz w:val="31"/>
          <w:szCs w:val="31"/>
        </w:rPr>
      </w:pPr>
      <w:r>
        <w:rPr>
          <w:rFonts w:ascii="Times New Roman" w:hAnsi="Times New Roman" w:eastAsia="Times New Roman" w:cs="Times New Roman"/>
          <w:b/>
          <w:bCs/>
          <w:spacing w:val="1"/>
          <w:sz w:val="31"/>
          <w:szCs w:val="31"/>
        </w:rPr>
        <w:t>4. Recrutement de talents</w:t>
      </w:r>
    </w:p>
    <w:p>
      <w:pPr>
        <w:spacing w:before="190" w:line="333" w:lineRule="auto"/>
        <w:ind w:left="11" w:right="148" w:firstLine="626"/>
        <w:rPr>
          <w:rFonts w:ascii="仿宋" w:hAnsi="仿宋" w:eastAsia="仿宋" w:cs="仿宋"/>
          <w:sz w:val="31"/>
          <w:szCs w:val="31"/>
        </w:rPr>
      </w:pPr>
      <w:r>
        <w:rPr>
          <w:rFonts w:ascii="仿宋" w:hAnsi="仿宋" w:eastAsia="仿宋" w:cs="仿宋"/>
          <w:spacing w:val="-9"/>
          <w:sz w:val="31"/>
          <w:szCs w:val="31"/>
        </w:rPr>
        <w:t>Tirer pleinement parti des avantages de la plate - forme de l'Assemblée générale en matière de ressources, en coopération avec des services de ressources humaines de qualité, en organisant des événements tels que le recrutement de professionnels étrangers, le recrutement de talents de retour à la mer, le recrutement de talents de niveau intermédiaire et supérieur "sous le jour de l'élite", le salon de l'emploi "Zhihui global" et le recrutement de talents de haut niveau dans certaines provinces et provinces, de manière sélective, afin de fournir aux unités d'utilisateurs une orientation vers les talents haut de gamme à l'étranger, les professionnels étrangers, Les services de recrutement de talents pour les étudiants étrangers et les jeunes scientifiques, les talents de la mer de retour et les talents nationaux en Chine répondent à la demande pressante d'unités d'utilisateurs et de sélection bidirectionnelle de talents.</w:t>
      </w:r>
    </w:p>
    <w:p>
      <w:pPr>
        <w:spacing w:before="1" w:line="223" w:lineRule="auto"/>
        <w:ind w:left="628"/>
        <w:outlineLvl w:val="0"/>
        <w:rPr>
          <w:rFonts w:ascii="仿宋" w:hAnsi="仿宋" w:eastAsia="仿宋" w:cs="仿宋"/>
          <w:sz w:val="31"/>
          <w:szCs w:val="31"/>
        </w:rPr>
      </w:pPr>
      <w:r>
        <w:rPr>
          <w:rFonts w:ascii="Times New Roman" w:hAnsi="Times New Roman" w:eastAsia="Times New Roman" w:cs="Times New Roman"/>
          <w:b/>
          <w:bCs/>
          <w:spacing w:val="1"/>
          <w:sz w:val="31"/>
          <w:szCs w:val="31"/>
        </w:rPr>
        <w:t>5. Activités thématiques</w:t>
      </w:r>
    </w:p>
    <w:p>
      <w:pPr>
        <w:spacing w:before="187" w:line="333" w:lineRule="auto"/>
        <w:ind w:left="13" w:firstLine="660"/>
        <w:rPr>
          <w:rFonts w:ascii="仿宋" w:hAnsi="仿宋" w:eastAsia="仿宋" w:cs="仿宋"/>
          <w:sz w:val="31"/>
          <w:szCs w:val="31"/>
        </w:rPr>
      </w:pPr>
      <w:r>
        <w:rPr>
          <w:rFonts w:ascii="仿宋" w:hAnsi="仿宋" w:eastAsia="仿宋" w:cs="仿宋"/>
          <w:spacing w:val="8"/>
          <w:sz w:val="31"/>
          <w:szCs w:val="31"/>
        </w:rPr>
        <w:t>Orienté vers les grands problèmes de développement économique et social national et local, les questions brûlantes et les besoins de développement industriel, axé sur la recherche scientifique fondamentale et appliquée, par la normalisation, la haute précision de l'Organisation des chapters, la Banque de talents chinois à l'étranger, l'action du Service des diplomates scientifiques et technologiques, le concours d'innovation et d'entrepreneuriat et d'autres événements de marque de congrès, tirer pleinement parti des deux marchés nationaux et étrangers, deux ressources, pour servir le développement économique et social de haute qualité.</w:t>
      </w:r>
    </w:p>
    <w:p>
      <w:pPr>
        <w:spacing w:line="229" w:lineRule="auto"/>
        <w:ind w:left="655"/>
        <w:rPr>
          <w:rFonts w:ascii="楷体" w:hAnsi="楷体" w:eastAsia="楷体" w:cs="楷体"/>
          <w:sz w:val="31"/>
          <w:szCs w:val="31"/>
        </w:rPr>
      </w:pPr>
      <w:r>
        <w:rPr>
          <w:rFonts w:ascii="楷体" w:hAnsi="楷体" w:eastAsia="楷体" w:cs="楷体"/>
          <w:spacing w:val="21"/>
          <w:sz w:val="31"/>
          <w:szCs w:val="31"/>
        </w:rPr>
        <w:t>(II) Expositions en ligne</w:t>
      </w:r>
    </w:p>
    <w:p>
      <w:pPr>
        <w:spacing w:before="178" w:line="223" w:lineRule="auto"/>
        <w:ind w:left="638"/>
        <w:outlineLvl w:val="0"/>
        <w:rPr>
          <w:rFonts w:ascii="仿宋" w:hAnsi="仿宋" w:eastAsia="仿宋" w:cs="仿宋"/>
          <w:sz w:val="31"/>
          <w:szCs w:val="31"/>
        </w:rPr>
      </w:pPr>
      <w:r>
        <w:rPr>
          <w:rFonts w:ascii="Times New Roman" w:hAnsi="Times New Roman" w:eastAsia="Times New Roman" w:cs="Times New Roman"/>
          <w:b/>
          <w:bCs/>
          <w:spacing w:val="-2"/>
          <w:sz w:val="31"/>
          <w:szCs w:val="31"/>
        </w:rPr>
        <w:t>1. Salle d'exposition virtuelle</w:t>
      </w:r>
    </w:p>
    <w:p>
      <w:pPr>
        <w:spacing w:before="184" w:line="339" w:lineRule="auto"/>
        <w:ind w:right="92" w:firstLine="640"/>
        <w:rPr>
          <w:rFonts w:ascii="仿宋" w:hAnsi="仿宋" w:eastAsia="仿宋" w:cs="仿宋"/>
          <w:sz w:val="31"/>
          <w:szCs w:val="31"/>
        </w:rPr>
      </w:pPr>
      <w:r>
        <w:rPr>
          <w:rFonts w:ascii="仿宋" w:hAnsi="仿宋" w:eastAsia="仿宋" w:cs="仿宋"/>
          <w:spacing w:val="10"/>
          <w:sz w:val="31"/>
          <w:szCs w:val="31"/>
        </w:rPr>
        <w:t>En combinaison avec le contenu de l'exposition hors ligne, l'Assemblée générale, le dessin, le texte, le son, l'image et d'autres formes de présentation multimédia, à l'aide de la technologie de l'information 3D et d'autres moyens pour construire une salle d'exposition virtuelle de type Street View, inviter les unités d'exposition nationales et étrangères à organiser des expositions en ligne, mettre en évidence la coopération internationale en matière de science, de technologie et d'innovation et l'échange</w:t>
      </w:r>
    </w:p>
    <w:p>
      <w:pPr>
        <w:sectPr>
          <w:footerReference r:id="rId8" w:type="default"/>
          <w:pgSz w:w="11906" w:h="16839"/>
          <w:pgMar w:top="400" w:right="1373" w:bottom="1876" w:left="1592"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2" w:lineRule="auto"/>
        <w:ind w:left="9"/>
        <w:rPr>
          <w:rFonts w:ascii="仿宋" w:hAnsi="仿宋" w:eastAsia="仿宋" w:cs="仿宋"/>
          <w:sz w:val="31"/>
          <w:szCs w:val="31"/>
        </w:rPr>
      </w:pPr>
      <w:r>
        <w:rPr>
          <w:rFonts w:ascii="仿宋" w:hAnsi="仿宋" w:eastAsia="仿宋" w:cs="仿宋"/>
          <w:spacing w:val="1"/>
          <w:sz w:val="31"/>
          <w:szCs w:val="31"/>
        </w:rPr>
        <w:t>Progrès et résultats, présentation des politiques, de l'environnement, des ressources, partage des connaissances, des expériences.</w:t>
      </w:r>
    </w:p>
    <w:p>
      <w:pPr>
        <w:spacing w:before="185" w:line="223" w:lineRule="auto"/>
        <w:ind w:left="626"/>
        <w:outlineLvl w:val="0"/>
        <w:rPr>
          <w:rFonts w:ascii="仿宋" w:hAnsi="仿宋" w:eastAsia="仿宋" w:cs="仿宋"/>
          <w:sz w:val="31"/>
          <w:szCs w:val="31"/>
        </w:rPr>
      </w:pPr>
      <w:r>
        <w:rPr>
          <w:rFonts w:ascii="Times New Roman" w:hAnsi="Times New Roman" w:eastAsia="Times New Roman" w:cs="Times New Roman"/>
          <w:b/>
          <w:bCs/>
          <w:spacing w:val="1"/>
          <w:sz w:val="31"/>
          <w:szCs w:val="31"/>
        </w:rPr>
        <w:t>2. Amarrage du projet</w:t>
      </w:r>
    </w:p>
    <w:p>
      <w:pPr>
        <w:spacing w:before="189" w:line="333" w:lineRule="auto"/>
        <w:ind w:left="1" w:firstLine="643"/>
        <w:rPr>
          <w:rFonts w:ascii="仿宋" w:hAnsi="仿宋" w:eastAsia="仿宋" w:cs="仿宋"/>
          <w:sz w:val="31"/>
          <w:szCs w:val="31"/>
        </w:rPr>
      </w:pPr>
      <w:r>
        <w:rPr>
          <w:rFonts w:ascii="仿宋" w:hAnsi="仿宋" w:eastAsia="仿宋" w:cs="仿宋"/>
          <w:spacing w:val="-2"/>
          <w:sz w:val="31"/>
          <w:szCs w:val="31"/>
        </w:rPr>
        <w:t>Le Congrès utilise le système d'échange et de négociation de talents à l'étranger (système EO) comme plate - forme pour publier des informations sur les projets d'innovation scientifique et technologique et l'offre et la demande de talents des établissements d'enseignement supérieur nationaux et étrangers, des instituts de recherche scientifique, des agences de ressources humaines, des entreprises d'innovation scientifique et technologique et des organisations d'experts nationales et étrangères. Et autour des domaines clés du développement économique et social, des industries clés, l'Organisation de l'activité de « Chang leading», combinée à des fonctions de service telles que la diffusion en direct de la tournée en ligne, l'affichage de la zone spéciale et d'autres, afin de fournir un service d'amarrage complet, intelligent et précis à l'offre et à la demande.</w:t>
      </w:r>
    </w:p>
    <w:p>
      <w:pPr>
        <w:spacing w:line="222" w:lineRule="auto"/>
        <w:ind w:left="624"/>
        <w:outlineLvl w:val="0"/>
        <w:rPr>
          <w:rFonts w:ascii="仿宋" w:hAnsi="仿宋" w:eastAsia="仿宋" w:cs="仿宋"/>
          <w:sz w:val="31"/>
          <w:szCs w:val="31"/>
        </w:rPr>
      </w:pPr>
      <w:r>
        <w:rPr>
          <w:rFonts w:ascii="Times New Roman" w:hAnsi="Times New Roman" w:eastAsia="Times New Roman" w:cs="Times New Roman"/>
          <w:b/>
          <w:bCs/>
          <w:spacing w:val="2"/>
          <w:sz w:val="31"/>
          <w:szCs w:val="31"/>
        </w:rPr>
        <w:t>3. Recrutement en ligne</w:t>
      </w:r>
    </w:p>
    <w:p>
      <w:pPr>
        <w:spacing w:before="190" w:line="333" w:lineRule="auto"/>
        <w:ind w:left="12" w:right="62" w:firstLine="662"/>
        <w:rPr>
          <w:rFonts w:ascii="仿宋" w:hAnsi="仿宋" w:eastAsia="仿宋" w:cs="仿宋"/>
          <w:sz w:val="31"/>
          <w:szCs w:val="31"/>
        </w:rPr>
      </w:pPr>
      <w:r>
        <w:rPr>
          <w:rFonts w:ascii="仿宋" w:hAnsi="仿宋" w:eastAsia="仿宋" w:cs="仿宋"/>
          <w:spacing w:val="-4"/>
          <w:sz w:val="31"/>
          <w:szCs w:val="31"/>
        </w:rPr>
        <w:t>Avec le site officiel de l'Assemblée générale comme plate - forme, mettre en place une zone de recrutement pour les talents haut de gamme à l'étranger, les professionnels étrangers, les étudiants étrangers et les jeunes scientifiques en Chine, les talents de retour à la mer, les talents nationaux, tirer pleinement parti des avantages de la plate - forme de l'Assemblée, coopérer avec les agences de services de ressources humaines spécialisées, fournir des services de recrutement pragmatiques, efficaces et précis pour les besoins raffinés des unités d'employeurs.</w:t>
      </w:r>
    </w:p>
    <w:p>
      <w:pPr>
        <w:spacing w:before="1" w:line="239" w:lineRule="auto"/>
        <w:ind w:left="640"/>
        <w:rPr>
          <w:rFonts w:ascii="黑体" w:hAnsi="黑体" w:eastAsia="黑体" w:cs="黑体"/>
          <w:sz w:val="31"/>
          <w:szCs w:val="31"/>
        </w:rPr>
      </w:pPr>
      <w:r>
        <w:rPr>
          <w:rFonts w:ascii="黑体" w:hAnsi="黑体" w:eastAsia="黑体" w:cs="黑体"/>
          <w:spacing w:val="-2"/>
          <w:sz w:val="31"/>
          <w:szCs w:val="31"/>
        </w:rPr>
        <w:t>V. Préparation de la participation</w:t>
      </w:r>
    </w:p>
    <w:p>
      <w:pPr>
        <w:spacing w:before="156" w:line="333" w:lineRule="auto"/>
        <w:ind w:right="207" w:firstLine="623"/>
        <w:rPr>
          <w:rFonts w:ascii="仿宋" w:hAnsi="仿宋" w:eastAsia="仿宋" w:cs="仿宋"/>
          <w:sz w:val="31"/>
          <w:szCs w:val="31"/>
        </w:rPr>
      </w:pPr>
      <w:r>
        <w:rPr>
          <w:rFonts w:ascii="仿宋" w:hAnsi="仿宋" w:eastAsia="仿宋" w:cs="仿宋"/>
          <w:spacing w:val="-2"/>
          <w:sz w:val="31"/>
          <w:szCs w:val="31"/>
        </w:rPr>
        <w:t>(i) selon le déploiement général du Ministère de la science et de la technologie (Bureau national d'expertise externe) et du Gouvernement de la ville de Shenzhen, les questions d'organisation liées à la mise en œuvre du Congrès relèvent de la responsabilité spécifique du Centre international d'échange de talents de Shenzhen, les détails doivent être consultés sur le site Web officiel du Congrès (www.ciep.gov.cn) et contacter le Groupe de travail de Shenzhen du Comité d'organisation du Congrès.</w:t>
      </w:r>
    </w:p>
    <w:p>
      <w:pPr>
        <w:spacing w:before="8" w:line="333" w:lineRule="auto"/>
        <w:ind w:left="14" w:right="287" w:firstLine="608"/>
        <w:rPr>
          <w:rFonts w:ascii="仿宋" w:hAnsi="仿宋" w:eastAsia="仿宋" w:cs="仿宋"/>
          <w:sz w:val="31"/>
          <w:szCs w:val="31"/>
        </w:rPr>
      </w:pPr>
      <w:r>
        <w:rPr>
          <w:rFonts w:ascii="仿宋" w:hAnsi="仿宋" w:eastAsia="仿宋" w:cs="仿宋"/>
          <w:spacing w:val="-8"/>
          <w:sz w:val="31"/>
          <w:szCs w:val="31"/>
        </w:rPr>
        <w:t xml:space="preserve">(II) Inviter les unités concernées à participer activement aux réunions du Forum, aux négociations d'exposition, à l'amarrage de projets et à d'autres activités, en tenant compte des besoins de l'industrie locale et de la situation réelle, ainsi qu'au recrutement sélectif de talents, aux activités thématiques, etc.</w:t>
      </w:r>
    </w:p>
    <w:p>
      <w:pPr>
        <w:spacing w:before="1" w:line="232" w:lineRule="auto"/>
        <w:ind w:left="641"/>
        <w:rPr>
          <w:rFonts w:ascii="黑体" w:hAnsi="黑体" w:eastAsia="黑体" w:cs="黑体"/>
          <w:sz w:val="31"/>
          <w:szCs w:val="31"/>
        </w:rPr>
      </w:pPr>
      <w:r>
        <w:rPr>
          <w:rFonts w:ascii="黑体" w:hAnsi="黑体" w:eastAsia="黑体" w:cs="黑体"/>
          <w:spacing w:val="-2"/>
          <w:sz w:val="31"/>
          <w:szCs w:val="31"/>
        </w:rPr>
        <w:t>Vi. Coordonnées</w:t>
      </w:r>
    </w:p>
    <w:p>
      <w:pPr>
        <w:sectPr>
          <w:footerReference r:id="rId9" w:type="default"/>
          <w:pgSz w:w="11906" w:h="16839"/>
          <w:pgMar w:top="400" w:right="1311" w:bottom="1873" w:left="1591" w:header="0" w:footer="1716" w:gutter="0"/>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5" w:lineRule="auto"/>
        <w:ind w:left="436"/>
        <w:rPr>
          <w:rFonts w:ascii="仿宋" w:hAnsi="仿宋" w:eastAsia="仿宋" w:cs="仿宋"/>
          <w:sz w:val="31"/>
          <w:szCs w:val="31"/>
        </w:rPr>
      </w:pPr>
      <w:r>
        <w:rPr>
          <w:rFonts w:ascii="仿宋" w:hAnsi="仿宋" w:eastAsia="仿宋" w:cs="仿宋"/>
          <w:spacing w:val="1"/>
          <w:sz w:val="31"/>
          <w:szCs w:val="31"/>
        </w:rPr>
        <w:t>Personne à contacter: Deng Yungang, Xu jielie</w:t>
      </w:r>
    </w:p>
    <w:p>
      <w:pPr>
        <w:spacing w:before="181" w:line="501" w:lineRule="exact"/>
        <w:ind w:left="474"/>
        <w:rPr>
          <w:rFonts w:ascii="Times New Roman" w:hAnsi="Times New Roman" w:eastAsia="Times New Roman" w:cs="Times New Roman"/>
          <w:sz w:val="31"/>
          <w:szCs w:val="31"/>
        </w:rPr>
      </w:pPr>
      <w:r>
        <w:rPr>
          <w:rFonts w:ascii="仿宋" w:hAnsi="仿宋" w:eastAsia="仿宋" w:cs="仿宋"/>
          <w:spacing w:val="-6"/>
          <w:position w:val="13"/>
          <w:sz w:val="31"/>
          <w:szCs w:val="31"/>
        </w:rPr>
        <w:t>Téléphone: 0755 - 81773205, 0755 - 81773491</w:t>
      </w:r>
    </w:p>
    <w:p>
      <w:pPr>
        <w:spacing w:line="429" w:lineRule="exact"/>
        <w:ind w:left="450"/>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ciep2001@ciep.gov.cn</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1"/>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1457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ABAC1BFCF1CA4DCB8CFB05E7CABDE6F0</vt:lpwstr>
  </property>
</Properties>
</file>