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11" w:lineRule="auto"/>
        <w:ind w:left="2198" w:right="1204" w:hanging="1075"/>
        <w:rPr>
          <w:rFonts w:ascii="微软雅黑" w:hAnsi="微软雅黑" w:eastAsia="微软雅黑" w:cs="微软雅黑"/>
          <w:sz w:val="43"/>
          <w:szCs w:val="43"/>
        </w:rPr>
      </w:pPr>
      <w:bookmarkStart w:id="0" w:name="_GoBack"/>
      <w:r>
        <w:rPr>
          <w:rFonts w:ascii="微软雅黑" w:hAnsi="微软雅黑" w:eastAsia="微软雅黑" w:cs="微软雅黑"/>
          <w:spacing w:val="1"/>
          <w:sz w:val="43"/>
          <w:szCs w:val="43"/>
        </w:rPr>
        <w:t>Programme de mise en œuvre de l'Organisation des activités thématiques de la 21e Conférence internationale des talents de Chine</w:t>
      </w:r>
    </w:p>
    <w:bookmarkEnd w:id="0"/>
    <w:p>
      <w:pPr>
        <w:spacing w:line="379" w:lineRule="auto"/>
        <w:rPr>
          <w:rFonts w:ascii="Arial"/>
          <w:sz w:val="21"/>
        </w:rPr>
      </w:pPr>
    </w:p>
    <w:p>
      <w:pPr>
        <w:spacing w:before="101" w:line="334" w:lineRule="auto"/>
        <w:ind w:left="8" w:firstLine="617"/>
        <w:rPr>
          <w:rFonts w:ascii="仿宋" w:hAnsi="仿宋" w:eastAsia="仿宋" w:cs="仿宋"/>
          <w:sz w:val="31"/>
          <w:szCs w:val="31"/>
        </w:rPr>
      </w:pPr>
      <w:r>
        <w:rPr>
          <w:rFonts w:ascii="仿宋" w:hAnsi="仿宋" w:eastAsia="仿宋" w:cs="仿宋"/>
          <w:spacing w:val="-20"/>
          <w:sz w:val="31"/>
          <w:szCs w:val="31"/>
        </w:rPr>
        <w:t>Conformément au programme de travail général de la 21e Conférence internationale sur l'échange de talents de la Chine, l'Assemblée générale s'articule autour de la promotion de l'innovation scientifique et technologique dans le cycle ouvert, en s'appuyant sur le grand cycle national, en utilisant deux marchés nationaux et étrangers, deux ressources, en mettant l'accent sur la recherche scientifique fondamentale et appliquée, ainsi que sur les grands problèmes, les questions brûlantes et les besoins de développement industriel dans le développement économique et social. La forme flexible de divers types d'activités thématiques (ci - après dénommées les activités) pour atteindre l'objectif d'attirer des éléments de ressources mondiales pour la science, la technologie et l'innovation, au service du développement économique et social de haute qualité aux niveaux national et local.</w:t>
      </w:r>
    </w:p>
    <w:p>
      <w:pPr>
        <w:spacing w:line="513" w:lineRule="exact"/>
        <w:ind w:left="635"/>
        <w:rPr>
          <w:rFonts w:ascii="黑体" w:hAnsi="黑体" w:eastAsia="黑体" w:cs="黑体"/>
          <w:sz w:val="31"/>
          <w:szCs w:val="31"/>
        </w:rPr>
      </w:pPr>
      <w:r>
        <w:rPr>
          <w:rFonts w:ascii="黑体" w:hAnsi="黑体" w:eastAsia="黑体" w:cs="黑体"/>
          <w:spacing w:val="-1"/>
          <w:position w:val="4"/>
          <w:sz w:val="31"/>
          <w:szCs w:val="31"/>
        </w:rPr>
        <w:t>I. horaires des activités</w:t>
      </w:r>
    </w:p>
    <w:p>
      <w:pPr>
        <w:spacing w:before="48" w:line="222" w:lineRule="auto"/>
        <w:ind w:left="628"/>
        <w:rPr>
          <w:rFonts w:ascii="仿宋" w:hAnsi="仿宋" w:eastAsia="仿宋" w:cs="仿宋"/>
          <w:sz w:val="31"/>
          <w:szCs w:val="31"/>
        </w:rPr>
      </w:pPr>
      <w:r>
        <w:rPr>
          <w:rFonts w:ascii="仿宋" w:hAnsi="仿宋" w:eastAsia="仿宋" w:cs="仿宋"/>
          <w:spacing w:val="1"/>
          <w:sz w:val="31"/>
          <w:szCs w:val="31"/>
        </w:rPr>
        <w:t>Normalisé toute l'année.</w:t>
      </w:r>
    </w:p>
    <w:p>
      <w:pPr>
        <w:spacing w:before="184" w:line="416" w:lineRule="exact"/>
        <w:ind w:left="635"/>
        <w:rPr>
          <w:rFonts w:ascii="黑体" w:hAnsi="黑体" w:eastAsia="黑体" w:cs="黑体"/>
          <w:sz w:val="31"/>
          <w:szCs w:val="31"/>
        </w:rPr>
      </w:pPr>
      <w:r>
        <w:rPr>
          <w:rFonts w:ascii="黑体" w:hAnsi="黑体" w:eastAsia="黑体" w:cs="黑体"/>
          <w:spacing w:val="-1"/>
          <w:position w:val="2"/>
          <w:sz w:val="31"/>
          <w:szCs w:val="31"/>
        </w:rPr>
        <w:t>II. Contenu des activités</w:t>
      </w:r>
    </w:p>
    <w:p>
      <w:pPr>
        <w:spacing w:before="145" w:line="333" w:lineRule="auto"/>
        <w:ind w:right="81" w:firstLine="647"/>
        <w:rPr>
          <w:rFonts w:ascii="仿宋" w:hAnsi="仿宋" w:eastAsia="仿宋" w:cs="仿宋"/>
          <w:sz w:val="31"/>
          <w:szCs w:val="31"/>
        </w:rPr>
      </w:pPr>
      <w:r>
        <w:rPr>
          <w:rFonts w:ascii="仿宋" w:hAnsi="仿宋" w:eastAsia="仿宋" w:cs="仿宋"/>
          <w:spacing w:val="1"/>
          <w:sz w:val="31"/>
          <w:szCs w:val="31"/>
        </w:rPr>
        <w:t>Les événements prennent principalement la forme de forums thématiques, de collaborations de projets, d'échanges de talents, de visites d'étude, etc., et peuvent être organisés individuellement ou en combinaison en fonction des besoins des unités de coopération concernées.</w:t>
      </w:r>
    </w:p>
    <w:p>
      <w:pPr>
        <w:spacing w:before="1" w:line="237" w:lineRule="auto"/>
        <w:ind w:left="655"/>
        <w:rPr>
          <w:rFonts w:ascii="楷体" w:hAnsi="楷体" w:eastAsia="楷体" w:cs="楷体"/>
          <w:sz w:val="31"/>
          <w:szCs w:val="31"/>
        </w:rPr>
      </w:pPr>
      <w:r>
        <w:rPr>
          <w:rFonts w:ascii="楷体" w:hAnsi="楷体" w:eastAsia="楷体" w:cs="楷体"/>
          <w:spacing w:val="21"/>
          <w:sz w:val="31"/>
          <w:szCs w:val="31"/>
        </w:rPr>
        <w:t>I) Forum thématique</w:t>
      </w:r>
    </w:p>
    <w:p>
      <w:pPr>
        <w:spacing w:before="160" w:line="339" w:lineRule="auto"/>
        <w:ind w:left="9" w:right="79" w:firstLine="664"/>
        <w:rPr>
          <w:rFonts w:ascii="仿宋" w:hAnsi="仿宋" w:eastAsia="仿宋" w:cs="仿宋"/>
          <w:sz w:val="31"/>
          <w:szCs w:val="31"/>
        </w:rPr>
      </w:pPr>
      <w:r>
        <w:rPr>
          <w:rFonts w:ascii="仿宋" w:hAnsi="仿宋" w:eastAsia="仿宋" w:cs="仿宋"/>
          <w:spacing w:val="-1"/>
          <w:sz w:val="31"/>
          <w:szCs w:val="31"/>
        </w:rPr>
        <w:t>Avec pour toile de fond la promotion de la coopération internationale bi - multilatérale mutuellement bénéfique en matière de science, de technologie et d'innovation et l'échange de talents dans un environnement ouvert, en mettant l'accent sur les domaines de développement clés nationaux et locaux pertinents et la direction du développement industriel, etc., les dirigeants concernés, les experts universitaires chinois et étrangers et les représentants des entreprises sont invités à participer et à mener des discussions et des échanges et à partager des expériences.</w:t>
      </w:r>
    </w:p>
    <w:p>
      <w:pPr>
        <w:sectPr>
          <w:footerReference r:id="rId5" w:type="default"/>
          <w:pgSz w:w="11906" w:h="16839"/>
          <w:pgMar w:top="400" w:right="1519" w:bottom="1876" w:left="1592" w:header="0" w:footer="1716" w:gutter="0"/>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229" w:lineRule="auto"/>
        <w:ind w:left="650"/>
        <w:rPr>
          <w:rFonts w:ascii="楷体" w:hAnsi="楷体" w:eastAsia="楷体" w:cs="楷体"/>
          <w:sz w:val="31"/>
          <w:szCs w:val="31"/>
        </w:rPr>
      </w:pPr>
      <w:r>
        <w:rPr>
          <w:rFonts w:ascii="楷体" w:hAnsi="楷体" w:eastAsia="楷体" w:cs="楷体"/>
          <w:spacing w:val="21"/>
          <w:sz w:val="31"/>
          <w:szCs w:val="31"/>
        </w:rPr>
        <w:t>Ii) Coopération dans le cadre de projets</w:t>
      </w:r>
    </w:p>
    <w:p>
      <w:pPr>
        <w:spacing w:before="180" w:line="333" w:lineRule="auto"/>
        <w:ind w:left="3" w:firstLine="649"/>
        <w:rPr>
          <w:rFonts w:ascii="仿宋" w:hAnsi="仿宋" w:eastAsia="仿宋" w:cs="仿宋"/>
          <w:sz w:val="31"/>
          <w:szCs w:val="31"/>
        </w:rPr>
      </w:pPr>
      <w:r>
        <w:rPr>
          <w:rFonts w:ascii="仿宋" w:hAnsi="仿宋" w:eastAsia="仿宋" w:cs="仿宋"/>
          <w:spacing w:val="-1"/>
          <w:sz w:val="31"/>
          <w:szCs w:val="31"/>
        </w:rPr>
        <w:t>Autour des priorités nationales et locales pertinentes pour le développement des domaines et des besoins de l'industrie, conformément au principe de précision et de pragmatisme et d'amélioration du taux de réussite, identifier conjointement des domaines et des thèmes spécifiques avec les unités de coopération, envoyer les informations sur les besoins collectées par les unités de coopération à des canaux de coopération offshore tels que des organisations d'experts étrangères pour l'appariement, et filtrer les projets avec un degré élevé de correspondance, organiser des réunions de présentation de projets par le biais d'une combinaison en ligne et hors ligne, Organisez l'offre et la demande pour le pitch Docking.</w:t>
      </w:r>
    </w:p>
    <w:p>
      <w:pPr>
        <w:spacing w:line="235" w:lineRule="auto"/>
        <w:ind w:left="650"/>
        <w:rPr>
          <w:rFonts w:ascii="楷体" w:hAnsi="楷体" w:eastAsia="楷体" w:cs="楷体"/>
          <w:sz w:val="31"/>
          <w:szCs w:val="31"/>
        </w:rPr>
      </w:pPr>
      <w:r>
        <w:rPr>
          <w:rFonts w:ascii="楷体" w:hAnsi="楷体" w:eastAsia="楷体" w:cs="楷体"/>
          <w:spacing w:val="21"/>
          <w:sz w:val="31"/>
          <w:szCs w:val="31"/>
        </w:rPr>
        <w:t>Iii) Échange de talents</w:t>
      </w:r>
    </w:p>
    <w:p>
      <w:pPr>
        <w:spacing w:before="167" w:line="333" w:lineRule="auto"/>
        <w:ind w:left="7" w:firstLine="661"/>
        <w:rPr>
          <w:rFonts w:ascii="仿宋" w:hAnsi="仿宋" w:eastAsia="仿宋" w:cs="仿宋"/>
          <w:sz w:val="31"/>
          <w:szCs w:val="31"/>
        </w:rPr>
      </w:pPr>
      <w:r>
        <w:rPr>
          <w:rFonts w:ascii="仿宋" w:hAnsi="仿宋" w:eastAsia="仿宋" w:cs="仿宋"/>
          <w:spacing w:val="-1"/>
          <w:sz w:val="31"/>
          <w:szCs w:val="31"/>
        </w:rPr>
        <w:t>Dans le but de répondre au développement des industries locales pertinentes et aux besoins en talents, les services de ressources humaines qui coopèrent avec le Congrès sont invités à organiser en temps opportun des activités de recrutement de talents, d'échange d'apprentissage, etc., en fonction des besoins en talents collectés par les unités de coopération concernées.</w:t>
      </w:r>
    </w:p>
    <w:p>
      <w:pPr>
        <w:spacing w:line="229" w:lineRule="auto"/>
        <w:ind w:left="650"/>
        <w:rPr>
          <w:rFonts w:ascii="楷体" w:hAnsi="楷体" w:eastAsia="楷体" w:cs="楷体"/>
          <w:sz w:val="31"/>
          <w:szCs w:val="31"/>
        </w:rPr>
      </w:pPr>
      <w:r>
        <w:rPr>
          <w:rFonts w:ascii="楷体" w:hAnsi="楷体" w:eastAsia="楷体" w:cs="楷体"/>
          <w:spacing w:val="21"/>
          <w:sz w:val="31"/>
          <w:szCs w:val="31"/>
        </w:rPr>
        <w:t>Iv) Instructions pour les voyages d'étude</w:t>
      </w:r>
    </w:p>
    <w:p>
      <w:pPr>
        <w:spacing w:before="176" w:line="333" w:lineRule="auto"/>
        <w:ind w:left="31" w:right="2" w:firstLine="621"/>
        <w:rPr>
          <w:rFonts w:ascii="仿宋" w:hAnsi="仿宋" w:eastAsia="仿宋" w:cs="仿宋"/>
          <w:sz w:val="31"/>
          <w:szCs w:val="31"/>
        </w:rPr>
      </w:pPr>
      <w:r>
        <w:rPr>
          <w:rFonts w:ascii="仿宋" w:hAnsi="仿宋" w:eastAsia="仿宋" w:cs="仿宋"/>
          <w:spacing w:val="-1"/>
          <w:sz w:val="31"/>
          <w:szCs w:val="31"/>
        </w:rPr>
        <w:t>Des experts étrangers sont invités à mener des voyages d'étude ciblés autour de problèmes de développement industriel local ou de problèmes techniques difficiles à résoudre pour les entreprises.</w:t>
      </w:r>
    </w:p>
    <w:p>
      <w:pPr>
        <w:spacing w:before="1"/>
        <w:ind w:left="631"/>
        <w:rPr>
          <w:rFonts w:ascii="黑体" w:hAnsi="黑体" w:eastAsia="黑体" w:cs="黑体"/>
          <w:sz w:val="31"/>
          <w:szCs w:val="31"/>
        </w:rPr>
      </w:pPr>
      <w:r>
        <w:rPr>
          <w:rFonts w:ascii="黑体" w:hAnsi="黑体" w:eastAsia="黑体" w:cs="黑体"/>
          <w:spacing w:val="-1"/>
          <w:sz w:val="31"/>
          <w:szCs w:val="31"/>
        </w:rPr>
        <w:t>Iii. Forme des activités</w:t>
      </w:r>
    </w:p>
    <w:p>
      <w:pPr>
        <w:spacing w:before="153" w:line="334" w:lineRule="auto"/>
        <w:ind w:right="2" w:firstLine="625"/>
        <w:rPr>
          <w:rFonts w:ascii="仿宋" w:hAnsi="仿宋" w:eastAsia="仿宋" w:cs="仿宋"/>
          <w:sz w:val="31"/>
          <w:szCs w:val="31"/>
        </w:rPr>
      </w:pPr>
      <w:r>
        <w:rPr>
          <w:rFonts w:ascii="仿宋" w:hAnsi="仿宋" w:eastAsia="仿宋" w:cs="仿宋"/>
          <w:spacing w:val="1"/>
          <w:sz w:val="31"/>
          <w:szCs w:val="31"/>
        </w:rPr>
        <w:t>Conformément au principe de frugalité, d'efficacité et de commodité, les activités seront menées en ligne et hors ligne, les échanges d'amarrage initiaux seront toujours effectués en ligne, jusqu'à ce que les intentions de coopération des deux parties soient claires, en temps opportun, des experts étrangers, des porteurs de projets, des talents étrangers et D'autres visites sur le terrain, échanges et conseils en Chine seront organisés.</w:t>
      </w:r>
    </w:p>
    <w:p>
      <w:pPr>
        <w:spacing w:line="232" w:lineRule="auto"/>
        <w:ind w:left="644"/>
        <w:rPr>
          <w:rFonts w:ascii="黑体" w:hAnsi="黑体" w:eastAsia="黑体" w:cs="黑体"/>
          <w:sz w:val="31"/>
          <w:szCs w:val="31"/>
        </w:rPr>
      </w:pPr>
      <w:r>
        <w:rPr>
          <w:rFonts w:ascii="黑体" w:hAnsi="黑体" w:eastAsia="黑体" w:cs="黑体"/>
          <w:spacing w:val="-3"/>
          <w:sz w:val="31"/>
          <w:szCs w:val="31"/>
        </w:rPr>
        <w:t>Iv. Activités de marque</w:t>
      </w:r>
    </w:p>
    <w:p>
      <w:pPr>
        <w:spacing w:before="170" w:line="236" w:lineRule="auto"/>
        <w:ind w:left="650"/>
        <w:rPr>
          <w:rFonts w:ascii="楷体" w:hAnsi="楷体" w:eastAsia="楷体" w:cs="楷体"/>
          <w:sz w:val="31"/>
          <w:szCs w:val="31"/>
        </w:rPr>
      </w:pPr>
      <w:r>
        <w:rPr>
          <w:rFonts w:ascii="楷体" w:hAnsi="楷体" w:eastAsia="楷体" w:cs="楷体"/>
          <w:spacing w:val="23"/>
          <w:sz w:val="31"/>
          <w:szCs w:val="31"/>
        </w:rPr>
        <w:t>I) terrain de chapitre</w:t>
      </w:r>
    </w:p>
    <w:p>
      <w:pPr>
        <w:spacing w:before="165" w:line="344" w:lineRule="auto"/>
        <w:ind w:left="13" w:firstLine="639"/>
        <w:rPr>
          <w:rFonts w:ascii="仿宋" w:hAnsi="仿宋" w:eastAsia="仿宋" w:cs="仿宋"/>
          <w:sz w:val="31"/>
          <w:szCs w:val="31"/>
        </w:rPr>
      </w:pPr>
      <w:r>
        <w:rPr>
          <w:rFonts w:ascii="仿宋" w:hAnsi="仿宋" w:eastAsia="仿宋" w:cs="仿宋"/>
          <w:spacing w:val="-1"/>
          <w:sz w:val="31"/>
          <w:szCs w:val="31"/>
        </w:rPr>
        <w:t>Autour des domaines de développement clés locaux pertinents et de la direction du développement industriel, mettre en place des sites de chapitre dans certaines provinces et provinces, en organisant des forums thématiques, des sessions de présentation de projets, des sessions d'échange de talents, des présentations</w:t>
      </w:r>
    </w:p>
    <w:p>
      <w:pPr>
        <w:sectPr>
          <w:footerReference r:id="rId6" w:type="default"/>
          <w:pgSz w:w="11906" w:h="16839"/>
          <w:pgMar w:top="400" w:right="1598" w:bottom="1876" w:left="1597" w:header="0" w:footer="1716"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3" w:lineRule="auto"/>
        <w:ind w:left="15" w:right="102" w:hanging="6"/>
        <w:rPr>
          <w:rFonts w:ascii="楷体" w:hAnsi="楷体" w:eastAsia="楷体" w:cs="楷体"/>
          <w:sz w:val="31"/>
          <w:szCs w:val="31"/>
        </w:rPr>
      </w:pPr>
      <w:r>
        <w:rPr>
          <w:rFonts w:ascii="仿宋" w:hAnsi="仿宋" w:eastAsia="仿宋" w:cs="仿宋"/>
          <w:spacing w:val="-10"/>
          <w:sz w:val="31"/>
          <w:szCs w:val="31"/>
        </w:rPr>
        <w:t>Des activités telles que la formation, le mentorat d'étude, etc., au service du développement économique et social local. [+] Centre international d'échange de talents de la Chine, Département de la science et de la technologie de la ville de la province et du district concernés (Commission, bureau), hébergé par le Centre international d'échange de talents de Shenzhen, les unités de coopération pertinentes]</w:t>
      </w:r>
    </w:p>
    <w:p>
      <w:pPr>
        <w:spacing w:before="1" w:line="230" w:lineRule="auto"/>
        <w:ind w:left="653"/>
        <w:rPr>
          <w:rFonts w:ascii="楷体" w:hAnsi="楷体" w:eastAsia="楷体" w:cs="楷体"/>
          <w:sz w:val="31"/>
          <w:szCs w:val="31"/>
        </w:rPr>
      </w:pPr>
      <w:r>
        <w:rPr>
          <w:rFonts w:ascii="楷体" w:hAnsi="楷体" w:eastAsia="楷体" w:cs="楷体"/>
          <w:spacing w:val="14"/>
          <w:sz w:val="31"/>
          <w:szCs w:val="31"/>
        </w:rPr>
        <w:t>(II) Banque chinoise des talents étrangers</w:t>
      </w:r>
    </w:p>
    <w:p>
      <w:pPr>
        <w:spacing w:before="165" w:line="334" w:lineRule="auto"/>
        <w:ind w:left="4" w:firstLine="650"/>
        <w:rPr>
          <w:rFonts w:ascii="楷体" w:hAnsi="楷体" w:eastAsia="楷体" w:cs="楷体"/>
          <w:sz w:val="31"/>
          <w:szCs w:val="31"/>
        </w:rPr>
      </w:pPr>
      <w:r>
        <w:rPr>
          <w:rFonts w:ascii="仿宋" w:hAnsi="仿宋" w:eastAsia="仿宋" w:cs="仿宋"/>
          <w:spacing w:val="-1"/>
          <w:sz w:val="31"/>
          <w:szCs w:val="31"/>
        </w:rPr>
        <w:t>Autour de la promotion de l'innovation scientifique et technologique joue un rôle clé dans le cycle ouvert, axée sur les problèmes et les besoins du marché, axée sur la recherche fondamentale, la recherche appliquée, ainsi que les grands problèmes, les questions brûlantes et les besoins de développement industriel dans le développement économique et social, en fonction de L'unité de coopération organise effectivement des événements à petite échelle, multi - lots et de précision, invite des universitaires experts étrangers de différents milieux académiques et techniques, Les détenteurs de technologie ont des échanges approfondis avec les unités de coopération chinoises. [...] Chef de file du Département des sciences et technologies, Centre international d'échange de talents de Chine, Centre international d'échange de talents de Shenzhen, unité de coopération pertinente]</w:t>
      </w:r>
    </w:p>
    <w:p>
      <w:pPr>
        <w:spacing w:line="228" w:lineRule="auto"/>
        <w:ind w:left="653"/>
        <w:rPr>
          <w:rFonts w:ascii="楷体" w:hAnsi="楷体" w:eastAsia="楷体" w:cs="楷体"/>
          <w:sz w:val="31"/>
          <w:szCs w:val="31"/>
        </w:rPr>
      </w:pPr>
      <w:r>
        <w:rPr>
          <w:rFonts w:ascii="楷体" w:hAnsi="楷体" w:eastAsia="楷体" w:cs="楷体"/>
          <w:spacing w:val="16"/>
          <w:sz w:val="31"/>
          <w:szCs w:val="31"/>
        </w:rPr>
        <w:t>Iii) opérations du Service des diplomates scientifiques et techniques</w:t>
      </w:r>
    </w:p>
    <w:p>
      <w:pPr>
        <w:spacing w:before="180" w:line="333" w:lineRule="auto"/>
        <w:ind w:left="11" w:right="100" w:firstLine="621"/>
        <w:rPr>
          <w:rFonts w:ascii="楷体" w:hAnsi="楷体" w:eastAsia="楷体" w:cs="楷体"/>
          <w:sz w:val="31"/>
          <w:szCs w:val="31"/>
        </w:rPr>
      </w:pPr>
      <w:r>
        <w:rPr>
          <w:rFonts w:ascii="仿宋" w:hAnsi="仿宋" w:eastAsia="仿宋" w:cs="仿宋"/>
          <w:spacing w:val="1"/>
          <w:sz w:val="31"/>
          <w:szCs w:val="31"/>
        </w:rPr>
        <w:t>En réponse à l'épidémie, certains diplomates scientifiques et consulaires à l'étranger ont été invités à mener des activités de recherche et d'échange dans certaines provinces et municipalités du pays, à présenter l'état actuel de l'innovation scientifique et technologique et de l'échange de talents dans le pays, à fournir des conseils aux autorités scientifiques et technologiques locales, aux entreprises et aux entreprises pour la coopération internationale. Ministère de la science et de la technologie département concerné Bureau central, Département de la science et de la technologie de la ville de la province et du district concerné (Commission, bureau), Shenzhen International Talent Exchange Center Exécution]</w:t>
      </w:r>
    </w:p>
    <w:p>
      <w:pPr>
        <w:spacing w:before="1" w:line="229" w:lineRule="auto"/>
        <w:ind w:left="653"/>
        <w:rPr>
          <w:rFonts w:ascii="楷体" w:hAnsi="楷体" w:eastAsia="楷体" w:cs="楷体"/>
          <w:sz w:val="31"/>
          <w:szCs w:val="31"/>
        </w:rPr>
      </w:pPr>
      <w:r>
        <w:rPr>
          <w:rFonts w:ascii="楷体" w:hAnsi="楷体" w:eastAsia="楷体" w:cs="楷体"/>
          <w:spacing w:val="12"/>
          <w:sz w:val="31"/>
          <w:szCs w:val="31"/>
        </w:rPr>
        <w:t>(IV) Sixième compétition internationale du concours d'innovation et d'entrepreneuriat de Shenzhen, Chine</w:t>
      </w:r>
    </w:p>
    <w:p>
      <w:pPr>
        <w:spacing w:before="176" w:line="338" w:lineRule="auto"/>
        <w:ind w:right="100" w:firstLine="655"/>
        <w:rPr>
          <w:rFonts w:ascii="仿宋" w:hAnsi="仿宋" w:eastAsia="仿宋" w:cs="仿宋"/>
          <w:sz w:val="31"/>
          <w:szCs w:val="31"/>
        </w:rPr>
      </w:pPr>
      <w:r>
        <w:rPr>
          <w:rFonts w:ascii="仿宋" w:hAnsi="仿宋" w:eastAsia="仿宋" w:cs="仿宋"/>
          <w:spacing w:val="-1"/>
          <w:sz w:val="31"/>
          <w:szCs w:val="31"/>
        </w:rPr>
        <w:t>Autour de la nouvelle génération d'informations électroniques, du numérique et de la mode, de la fabrication d'équipements haut de gamme, du vert à faible émission de carbone, des nouveaux matériaux, de la biomédecine et de la santé, de l'économie maritime et d'autres domaines de l'industrie, organisez un concours à l'étranger, Organisez la grande finale à Shenzhen, faites la promotion de l'environnement et de la politique d'entrepreneuriat nationaux innovants et des talents, construisez un « véhicule direct» pour les talents étrangers. Promouvoir efficacement le projet d'innovation à l'étranger.</w:t>
      </w:r>
    </w:p>
    <w:p>
      <w:pPr>
        <w:sectPr>
          <w:footerReference r:id="rId7" w:type="default"/>
          <w:pgSz w:w="11906" w:h="16839"/>
          <w:pgMar w:top="400" w:right="1495" w:bottom="1876" w:left="1595" w:header="0" w:footer="1716"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1" w:line="332" w:lineRule="auto"/>
        <w:ind w:left="649" w:hanging="649"/>
        <w:rPr>
          <w:rFonts w:ascii="楷体" w:hAnsi="楷体" w:eastAsia="楷体" w:cs="楷体"/>
          <w:sz w:val="31"/>
          <w:szCs w:val="31"/>
        </w:rPr>
      </w:pPr>
      <w:r>
        <w:rPr>
          <w:rFonts w:ascii="仿宋" w:hAnsi="仿宋" w:eastAsia="仿宋" w:cs="仿宋"/>
          <w:spacing w:val="-28"/>
          <w:sz w:val="31"/>
          <w:szCs w:val="31"/>
        </w:rPr>
        <w:t>Terre. […] Organisé par le Gouvernement de la ville de Shenzhen, accueilli par le Bureau d'assurance des ressources humaines de Shenzhen, le Gouvernement du district concerné] (v) Shenzhen capital capital Day</w:t>
      </w:r>
    </w:p>
    <w:p>
      <w:pPr>
        <w:spacing w:before="9" w:line="333" w:lineRule="auto"/>
        <w:ind w:left="3" w:right="42" w:firstLine="620"/>
        <w:rPr>
          <w:rFonts w:ascii="楷体" w:hAnsi="楷体" w:eastAsia="楷体" w:cs="楷体"/>
          <w:sz w:val="31"/>
          <w:szCs w:val="31"/>
        </w:rPr>
      </w:pPr>
      <w:r>
        <w:rPr>
          <w:rFonts w:ascii="仿宋" w:hAnsi="仿宋" w:eastAsia="仿宋" w:cs="仿宋"/>
          <w:spacing w:val="-10"/>
          <w:sz w:val="31"/>
          <w:szCs w:val="31"/>
        </w:rPr>
        <w:t>Unir la marque « Shenzhen Creation and Capital Day », créer un événement thématique spécial pendant le Congrès, créer une plate - forme de partage ouverte avec une vision stratégique, cibler différentes industries et différents stades de développement des entreprises, organiser des événements d'amarrage et de roadshow de projets en ligne et hors ligne, coopérer avec l'exposition de la zone financière scientifique et technologique, amplifier la capacité de mobilisation des ressources du Fonds d'orientation du Gouvernement de Shenzhen à tous les niveaux et de tous les types de fonds mères, Faire de Shenzhen un terrain fertile pour le développement des investissements de capital - risque. [+] Autorité locale de réglementation financière de Shenzhen, Commission de l'innovation scientifique et technologique de Shenzhen, Bureau de technologie et d'information de Shenzhen, bourse de Shenzhen, Gouvernement du district de Nanshan de Shenzhen, Centre d'échange de résultats scientifiques et technologiques et de propriété intellectuelle de Shenzhen, Shenzhen Guided Fund Investment Co., Ltd., Shenzhen Angel Mother Fund Management Co., Shenzhen guangtsu Group, New Wealth services]</w:t>
      </w:r>
    </w:p>
    <w:p>
      <w:pPr>
        <w:spacing w:before="1" w:line="239" w:lineRule="auto"/>
        <w:ind w:left="632"/>
        <w:rPr>
          <w:rFonts w:ascii="黑体" w:hAnsi="黑体" w:eastAsia="黑体" w:cs="黑体"/>
          <w:sz w:val="31"/>
          <w:szCs w:val="31"/>
        </w:rPr>
      </w:pPr>
      <w:r>
        <w:rPr>
          <w:rFonts w:ascii="黑体" w:hAnsi="黑体" w:eastAsia="黑体" w:cs="黑体"/>
          <w:spacing w:val="-2"/>
          <w:sz w:val="31"/>
          <w:szCs w:val="31"/>
        </w:rPr>
        <w:t>V. Critères de coût</w:t>
      </w:r>
    </w:p>
    <w:p>
      <w:pPr>
        <w:spacing w:before="158" w:line="333" w:lineRule="auto"/>
        <w:ind w:left="16" w:right="150" w:firstLine="604"/>
        <w:rPr>
          <w:rFonts w:ascii="仿宋" w:hAnsi="仿宋" w:eastAsia="仿宋" w:cs="仿宋"/>
          <w:sz w:val="31"/>
          <w:szCs w:val="31"/>
        </w:rPr>
      </w:pPr>
      <w:r>
        <w:rPr>
          <w:rFonts w:ascii="仿宋" w:hAnsi="仿宋" w:eastAsia="仿宋" w:cs="仿宋"/>
          <w:spacing w:val="1"/>
          <w:sz w:val="31"/>
          <w:szCs w:val="31"/>
        </w:rPr>
        <w:t>Élaborer des programmes en fonction des besoins réels des municipalités des districts provinciaux, veuillez contacter le Groupe de travail de Beijing du Comité d'organisation du Congrès pour plus de détails.</w:t>
      </w:r>
    </w:p>
    <w:p>
      <w:pPr>
        <w:spacing w:before="1" w:line="232" w:lineRule="auto"/>
        <w:ind w:left="634"/>
        <w:rPr>
          <w:rFonts w:ascii="黑体" w:hAnsi="黑体" w:eastAsia="黑体" w:cs="黑体"/>
          <w:sz w:val="31"/>
          <w:szCs w:val="31"/>
        </w:rPr>
      </w:pPr>
      <w:r>
        <w:rPr>
          <w:rFonts w:ascii="黑体" w:hAnsi="黑体" w:eastAsia="黑体" w:cs="黑体"/>
          <w:spacing w:val="-2"/>
          <w:sz w:val="31"/>
          <w:szCs w:val="31"/>
        </w:rPr>
        <w:t>Vi. Coordonnées</w:t>
      </w:r>
    </w:p>
    <w:p>
      <w:pPr>
        <w:spacing w:before="171" w:line="225" w:lineRule="auto"/>
        <w:ind w:left="624"/>
        <w:rPr>
          <w:rFonts w:ascii="仿宋" w:hAnsi="仿宋" w:eastAsia="仿宋" w:cs="仿宋"/>
          <w:sz w:val="31"/>
          <w:szCs w:val="31"/>
        </w:rPr>
      </w:pPr>
      <w:r>
        <w:rPr>
          <w:rFonts w:ascii="仿宋" w:hAnsi="仿宋" w:eastAsia="仿宋" w:cs="仿宋"/>
          <w:spacing w:val="1"/>
          <w:sz w:val="31"/>
          <w:szCs w:val="31"/>
        </w:rPr>
        <w:t>Personne à contacter: Wang Yu, Guo Yeon</w:t>
      </w:r>
    </w:p>
    <w:p>
      <w:pPr>
        <w:spacing w:before="182" w:line="223" w:lineRule="auto"/>
        <w:ind w:left="661"/>
        <w:rPr>
          <w:rFonts w:ascii="Times New Roman" w:hAnsi="Times New Roman" w:eastAsia="Times New Roman" w:cs="Times New Roman"/>
          <w:sz w:val="31"/>
          <w:szCs w:val="31"/>
        </w:rPr>
      </w:pPr>
      <w:r>
        <w:rPr>
          <w:rFonts w:ascii="仿宋" w:hAnsi="仿宋" w:eastAsia="仿宋" w:cs="仿宋"/>
          <w:spacing w:val="-1"/>
          <w:sz w:val="31"/>
          <w:szCs w:val="31"/>
        </w:rPr>
        <w:t>Téléphone: 010 - 58882487, 010 - 58882132</w:t>
      </w:r>
    </w:p>
    <w:p>
      <w:pPr>
        <w:spacing w:before="126" w:line="429" w:lineRule="exact"/>
        <w:ind w:left="637"/>
        <w:rPr>
          <w:rFonts w:ascii="Times New Roman" w:hAnsi="Times New Roman" w:eastAsia="Times New Roman" w:cs="Times New Roman"/>
          <w:sz w:val="31"/>
          <w:szCs w:val="31"/>
        </w:rPr>
      </w:pPr>
      <w:r>
        <w:rPr>
          <w:rFonts w:ascii="仿宋" w:hAnsi="仿宋" w:eastAsia="仿宋" w:cs="仿宋"/>
          <w:spacing w:val="-2"/>
          <w:position w:val="4"/>
          <w:sz w:val="31"/>
          <w:szCs w:val="31"/>
        </w:rPr>
        <w:t>Boîte aux lettres: wangyang@ciep.gov.cn</w:t>
      </w:r>
    </w:p>
    <w:p>
      <w:pPr>
        <w:spacing w:before="133" w:line="429" w:lineRule="exact"/>
        <w:ind w:left="1864"/>
        <w:rPr>
          <w:rFonts w:ascii="Times New Roman" w:hAnsi="Times New Roman" w:eastAsia="Times New Roman" w:cs="Times New Roman"/>
          <w:sz w:val="31"/>
          <w:szCs w:val="31"/>
        </w:rPr>
      </w:pPr>
      <w:r>
        <w:rPr>
          <w:rFonts w:ascii="Times New Roman" w:hAnsi="Times New Roman" w:eastAsia="Times New Roman" w:cs="Times New Roman"/>
          <w:spacing w:val="-1"/>
          <w:position w:val="5"/>
          <w:sz w:val="31"/>
          <w:szCs w:val="31"/>
        </w:rPr>
        <w:t>guoyan@ciep.gov.cn</w:t>
      </w:r>
    </w:p>
    <w:p>
      <w:pPr>
        <w:sectPr>
          <w:footerReference r:id="rId8" w:type="default"/>
          <w:pgSz w:w="11906" w:h="16839"/>
          <w:pgMar w:top="400" w:right="1450" w:bottom="1876" w:left="1598" w:header="0" w:footer="1716" w:gutter="0"/>
          <w:cols w:space="720" w:num="1"/>
        </w:sectPr>
      </w:pPr>
    </w:p>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79"/>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TIxYjNiNzUxMzkxMjQ2MDcyZTczMmJmZTI1ODcifQ=="/>
  </w:docVars>
  <w:rsids>
    <w:rsidRoot w:val="145768B3"/>
    <w:rsid w:val="080C528C"/>
    <w:rsid w:val="08B60D54"/>
    <w:rsid w:val="0DE819AF"/>
    <w:rsid w:val="145768B3"/>
    <w:rsid w:val="251E0AED"/>
    <w:rsid w:val="2802614E"/>
    <w:rsid w:val="4EBB043F"/>
    <w:rsid w:val="54E3249D"/>
    <w:rsid w:val="6A93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2023-03-27T09:38:00Z</dcterms:created>
  <dc:creator>会开小飞机~滴贝塔</dc:creator>
  <cp:lastModifiedBy>会开小飞机~滴贝塔</cp:lastModifiedBy>
  <dcterms:modified xsi:type="dcterms:W3CDTF">2023-03-27T09:42:16Z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4C365654A4314CC0B9322ECDF079E133</vt:lpwstr>
  </property>
</Properties>
</file>