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211" w:lineRule="auto"/>
        <w:ind w:left="1767" w:right="1204" w:hanging="646"/>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Programme de mise en œuvre de l'Organisation du bloc d'accueil du projet du 21e échange international de talents de Chine</w:t>
      </w:r>
    </w:p>
    <w:bookmarkEnd w:id="0"/>
    <w:p>
      <w:pPr>
        <w:spacing w:line="384" w:lineRule="auto"/>
        <w:rPr>
          <w:rFonts w:ascii="Arial"/>
          <w:sz w:val="21"/>
        </w:rPr>
      </w:pPr>
    </w:p>
    <w:p>
      <w:pPr>
        <w:spacing w:before="101" w:line="334" w:lineRule="auto"/>
        <w:ind w:right="71" w:firstLine="623"/>
        <w:rPr>
          <w:rFonts w:ascii="仿宋" w:hAnsi="仿宋" w:eastAsia="仿宋" w:cs="仿宋"/>
          <w:sz w:val="31"/>
          <w:szCs w:val="31"/>
        </w:rPr>
      </w:pPr>
      <w:r>
        <w:rPr>
          <w:rFonts w:ascii="仿宋" w:hAnsi="仿宋" w:eastAsia="仿宋" w:cs="仿宋"/>
          <w:spacing w:val="-20"/>
          <w:sz w:val="31"/>
          <w:szCs w:val="31"/>
        </w:rPr>
        <w:t>Conformément au programme de travail global de la 21e Conférence internationale sur l'échange de talents de Chine, l'Assemblée s'appuiera sur le système d'échange de talents à l'étranger (experts Online, ou système EO) pour mener activement l'activité de "Zhang Guangling" et fournir un service complet, intelligent et précis d'échange de projets.</w:t>
      </w:r>
    </w:p>
    <w:p>
      <w:pPr>
        <w:spacing w:line="513" w:lineRule="exact"/>
        <w:ind w:left="632"/>
        <w:rPr>
          <w:rFonts w:ascii="黑体" w:hAnsi="黑体" w:eastAsia="黑体" w:cs="黑体"/>
          <w:sz w:val="31"/>
          <w:szCs w:val="31"/>
        </w:rPr>
      </w:pPr>
      <w:r>
        <w:rPr>
          <w:rFonts w:ascii="黑体" w:hAnsi="黑体" w:eastAsia="黑体" w:cs="黑体"/>
          <w:spacing w:val="-1"/>
          <w:position w:val="4"/>
          <w:sz w:val="31"/>
          <w:szCs w:val="31"/>
        </w:rPr>
        <w:t>I. heures de service</w:t>
      </w:r>
    </w:p>
    <w:p>
      <w:pPr>
        <w:spacing w:before="48" w:line="222" w:lineRule="auto"/>
        <w:ind w:left="626"/>
        <w:rPr>
          <w:rFonts w:ascii="仿宋" w:hAnsi="仿宋" w:eastAsia="仿宋" w:cs="仿宋"/>
          <w:sz w:val="31"/>
          <w:szCs w:val="31"/>
        </w:rPr>
      </w:pPr>
      <w:r>
        <w:rPr>
          <w:rFonts w:ascii="仿宋" w:hAnsi="仿宋" w:eastAsia="仿宋" w:cs="仿宋"/>
          <w:spacing w:val="1"/>
          <w:sz w:val="31"/>
          <w:szCs w:val="31"/>
        </w:rPr>
        <w:t>Normalisation toute l'année offre des services d'amarrage de projet.</w:t>
      </w:r>
    </w:p>
    <w:p>
      <w:pPr>
        <w:spacing w:before="184" w:line="416" w:lineRule="exact"/>
        <w:ind w:left="632"/>
        <w:rPr>
          <w:rFonts w:ascii="黑体" w:hAnsi="黑体" w:eastAsia="黑体" w:cs="黑体"/>
          <w:sz w:val="31"/>
          <w:szCs w:val="31"/>
        </w:rPr>
      </w:pPr>
      <w:r>
        <w:rPr>
          <w:rFonts w:ascii="黑体" w:hAnsi="黑体" w:eastAsia="黑体" w:cs="黑体"/>
          <w:spacing w:val="-1"/>
          <w:position w:val="2"/>
          <w:sz w:val="31"/>
          <w:szCs w:val="31"/>
        </w:rPr>
        <w:t>II. Contenu du Service</w:t>
      </w:r>
    </w:p>
    <w:p>
      <w:pPr>
        <w:spacing w:before="149" w:line="333" w:lineRule="auto"/>
        <w:ind w:left="5" w:firstLine="616"/>
        <w:rPr>
          <w:rFonts w:ascii="仿宋" w:hAnsi="仿宋" w:eastAsia="仿宋" w:cs="仿宋"/>
          <w:sz w:val="31"/>
          <w:szCs w:val="31"/>
        </w:rPr>
      </w:pPr>
      <w:r>
        <w:rPr>
          <w:rFonts w:ascii="仿宋" w:hAnsi="仿宋" w:eastAsia="仿宋" w:cs="仿宋"/>
          <w:spacing w:val="1"/>
          <w:sz w:val="31"/>
          <w:szCs w:val="31"/>
        </w:rPr>
        <w:t xml:space="preserve">Avec les avantages de la forte capacité d'intégration des ressources du système EO, de sa facilité d'utilisation rapide et de sa large portée, il fournit une plate - forme en ligne pour les entreprises nationales et les organisations d'experts nationales (nationales) et étrangères, les organisations professionnelles pour l'interconnexion technique, la coopération scientifique et de recherche, le transfert de résultats, le recrutement de postes et d'autres activités grâce à la publication en ligne, aux négociations en ligne, à la présentation de zones spécialisées, à la traduction multilingue et à d'autres fonctionnalités.</w:t>
      </w:r>
    </w:p>
    <w:p>
      <w:pPr>
        <w:spacing w:before="3" w:line="336" w:lineRule="auto"/>
        <w:ind w:left="1" w:right="79" w:firstLine="620"/>
        <w:rPr>
          <w:rFonts w:ascii="仿宋" w:hAnsi="仿宋" w:eastAsia="仿宋" w:cs="仿宋"/>
          <w:sz w:val="31"/>
          <w:szCs w:val="31"/>
        </w:rPr>
      </w:pPr>
      <w:r>
        <w:rPr>
          <w:rFonts w:ascii="仿宋" w:hAnsi="仿宋" w:eastAsia="仿宋" w:cs="仿宋"/>
          <w:spacing w:val="-10"/>
          <w:sz w:val="31"/>
          <w:szCs w:val="31"/>
        </w:rPr>
        <w:t>En s'appuyant sur l'Organisation du système EO pour mener à bien l'activité de "classement Zhang", en ligne et hors de l'emplacement visible du pavillon principal, dans chaque zone d'exposition pendant la Conférence, une "liste de coopération de projet" et une "liste de demande de talents", publier des informations sur L'offre et la demande de projets, de technologies, de financement, de talents, etc., afin de fournir aux unités exposantes une occasion de réaliser une coopération pratique mutuellement bénéfique et gagnant - gagnant. Chaque jour peut centraliser la publication en ligne des informations sur l'offre et la demande recueillies à l'avance par chaque unité d'exposition sur les projets, les talents et autres, et à partir de là, filtrer les besoins de coopération de projets clés et les besoins en talents sur le site officiel de l'Assemblée générale dans une position bien en vue "liste ouverte", organiser en temps opportun les canaux de coopération à l'étranger</w:t>
      </w:r>
    </w:p>
    <w:p>
      <w:pPr>
        <w:sectPr>
          <w:footerReference r:id="rId5" w:type="default"/>
          <w:pgSz w:w="11906" w:h="16839"/>
          <w:pgMar w:top="400" w:right="1519" w:bottom="1876" w:left="1595"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right="79" w:firstLine="32"/>
        <w:rPr>
          <w:rFonts w:ascii="楷体" w:hAnsi="楷体" w:eastAsia="楷体" w:cs="楷体"/>
          <w:sz w:val="31"/>
          <w:szCs w:val="31"/>
        </w:rPr>
      </w:pPr>
      <w:r>
        <w:rPr>
          <w:rFonts w:ascii="仿宋" w:hAnsi="仿宋" w:eastAsia="仿宋" w:cs="仿宋"/>
          <w:spacing w:val="-20"/>
          <w:sz w:val="31"/>
          <w:szCs w:val="31"/>
        </w:rPr>
        <w:t>L'événement "Unleashed" offre l'occasion à toutes les parties de parvenir à une coopération pragmatique mutuellement bénéfique. [+] Chef de file du Ministère de la science et de la technologie, hébergé par le Centre international d'échange de talents de Chine, le Centre international d'échange de talents de Shenzhen]</w:t>
      </w:r>
    </w:p>
    <w:p>
      <w:pPr>
        <w:spacing w:before="3" w:line="315" w:lineRule="auto"/>
        <w:ind w:left="639" w:right="465" w:hanging="4"/>
        <w:rPr>
          <w:rFonts w:ascii="仿宋" w:hAnsi="仿宋" w:eastAsia="仿宋" w:cs="仿宋"/>
          <w:sz w:val="31"/>
          <w:szCs w:val="31"/>
        </w:rPr>
      </w:pPr>
      <w:r>
        <w:rPr>
          <w:rFonts w:ascii="黑体" w:hAnsi="黑体" w:eastAsia="黑体" w:cs="黑体"/>
          <w:spacing w:val="1"/>
          <w:sz w:val="31"/>
          <w:szCs w:val="31"/>
        </w:rPr>
        <w:t>Iii. Fonction du système EO 1. Fournir des fonctions d'exploitation de l'utilisateur telles que la publication en ligne, la réponse, la collection, l'évaluation, etc. 2. Fournir des fonctions de gestion des utilisateurs telles que la gestion institutionnelle, la gestion des membres, la modification des informations, etc. 3. Fournir la coopération de projet, la demande de talent, les ressources de talent et d'autres fonctions d'amarrage de projet. 4. Fournir des fonctions d'affichage d'informations telles que le profil de l'Agence, les communiqués de politique, les actualités, etc.</w:t>
      </w:r>
    </w:p>
    <w:p>
      <w:pPr>
        <w:spacing w:before="150" w:line="232" w:lineRule="auto"/>
        <w:ind w:left="647"/>
        <w:rPr>
          <w:rFonts w:ascii="黑体" w:hAnsi="黑体" w:eastAsia="黑体" w:cs="黑体"/>
          <w:sz w:val="31"/>
          <w:szCs w:val="31"/>
        </w:rPr>
      </w:pPr>
      <w:r>
        <w:rPr>
          <w:rFonts w:ascii="黑体" w:hAnsi="黑体" w:eastAsia="黑体" w:cs="黑体"/>
          <w:spacing w:val="-3"/>
          <w:sz w:val="31"/>
          <w:szCs w:val="31"/>
        </w:rPr>
        <w:t>Iv. Processus des activités</w:t>
      </w:r>
    </w:p>
    <w:p>
      <w:pPr>
        <w:spacing w:before="172" w:line="229" w:lineRule="auto"/>
        <w:ind w:left="654"/>
        <w:rPr>
          <w:rFonts w:ascii="楷体" w:hAnsi="楷体" w:eastAsia="楷体" w:cs="楷体"/>
          <w:sz w:val="31"/>
          <w:szCs w:val="31"/>
        </w:rPr>
      </w:pPr>
      <w:r>
        <w:rPr>
          <w:rFonts w:ascii="楷体" w:hAnsi="楷体" w:eastAsia="楷体" w:cs="楷体"/>
          <w:spacing w:val="15"/>
          <w:sz w:val="31"/>
          <w:szCs w:val="31"/>
        </w:rPr>
        <w:t>(i) transmission régulière d'informations sur l'offre et la demande</w:t>
      </w:r>
    </w:p>
    <w:p>
      <w:pPr>
        <w:spacing w:before="176" w:line="333" w:lineRule="auto"/>
        <w:ind w:left="6" w:right="2" w:firstLine="621"/>
        <w:rPr>
          <w:rFonts w:ascii="仿宋" w:hAnsi="仿宋" w:eastAsia="仿宋" w:cs="仿宋"/>
          <w:sz w:val="31"/>
          <w:szCs w:val="31"/>
        </w:rPr>
      </w:pPr>
      <w:r>
        <w:rPr>
          <w:rFonts w:ascii="仿宋" w:hAnsi="仿宋" w:eastAsia="仿宋" w:cs="仿宋"/>
          <w:spacing w:val="1"/>
          <w:sz w:val="31"/>
          <w:szCs w:val="31"/>
        </w:rPr>
        <w:t>Les unités, en fonction des besoins de développement de l'industrie locale et des domaines de développement clés, collectent des informations sur divers projets, l'offre et la demande de talents, remplissent régulièrement le formulaire d'appel à l'information sur l'offre et la demande de la Conférence internationale sur l'échange de talents de Chine (ci - après dénommé le formulaire d'appel à l'information, qui peut être téléchargé sur le site officiel de la Conférence), et l'envoient à la boîte aux lettres désignée de la Conférence dans la période correspondante.</w:t>
      </w:r>
    </w:p>
    <w:p>
      <w:pPr>
        <w:spacing w:line="228" w:lineRule="auto"/>
        <w:ind w:left="654"/>
        <w:rPr>
          <w:rFonts w:ascii="楷体" w:hAnsi="楷体" w:eastAsia="楷体" w:cs="楷体"/>
          <w:sz w:val="31"/>
          <w:szCs w:val="31"/>
        </w:rPr>
      </w:pPr>
      <w:r>
        <w:rPr>
          <w:rFonts w:ascii="楷体" w:hAnsi="楷体" w:eastAsia="楷体" w:cs="楷体"/>
          <w:spacing w:val="15"/>
          <w:sz w:val="31"/>
          <w:szCs w:val="31"/>
        </w:rPr>
        <w:t>(II) numéro de compte d'utilisation du système d'activation</w:t>
      </w:r>
    </w:p>
    <w:p>
      <w:pPr>
        <w:spacing w:before="181" w:line="333" w:lineRule="auto"/>
        <w:ind w:left="21" w:firstLine="621"/>
        <w:rPr>
          <w:rFonts w:ascii="仿宋" w:hAnsi="仿宋" w:eastAsia="仿宋" w:cs="仿宋"/>
          <w:sz w:val="31"/>
          <w:szCs w:val="31"/>
        </w:rPr>
      </w:pPr>
      <w:r>
        <w:rPr>
          <w:rFonts w:ascii="仿宋" w:hAnsi="仿宋" w:eastAsia="仿宋" w:cs="仿宋"/>
          <w:spacing w:val="-16"/>
          <w:sz w:val="31"/>
          <w:szCs w:val="31"/>
        </w:rPr>
        <w:t>Le Comité d'organisation de la Conférence a uniformément importé les informations du formulaire d'appel d'offres des unités dans le système EO, le système a généré des numéros de compte d'utilisateur, des commentaires aux boîtes aux lettres de contact des unités, et a examiné les projets clés étiquetés, les besoins en talents pour la publication de la « Liste ouverte». Chaque unité doit activer le numéro de compte d'utilisation du système EO en temps opportun, en utilisant continuellement les ressources du système pour faire progresser la coopération d'amarrage du projet.</w:t>
      </w:r>
    </w:p>
    <w:p>
      <w:pPr>
        <w:spacing w:before="1" w:line="228" w:lineRule="auto"/>
        <w:ind w:left="654"/>
        <w:rPr>
          <w:rFonts w:ascii="楷体" w:hAnsi="楷体" w:eastAsia="楷体" w:cs="楷体"/>
          <w:sz w:val="31"/>
          <w:szCs w:val="31"/>
        </w:rPr>
      </w:pPr>
      <w:r>
        <w:rPr>
          <w:rFonts w:ascii="楷体" w:hAnsi="楷体" w:eastAsia="楷体" w:cs="楷体"/>
          <w:spacing w:val="15"/>
          <w:sz w:val="31"/>
          <w:szCs w:val="31"/>
        </w:rPr>
        <w:t>(III) Faire des demandes spéciales en temps opportun</w:t>
      </w:r>
    </w:p>
    <w:p>
      <w:pPr>
        <w:spacing w:before="176" w:line="344" w:lineRule="auto"/>
        <w:ind w:left="9" w:right="79" w:firstLine="625"/>
        <w:rPr>
          <w:rFonts w:ascii="仿宋" w:hAnsi="仿宋" w:eastAsia="仿宋" w:cs="仿宋"/>
          <w:sz w:val="31"/>
          <w:szCs w:val="31"/>
        </w:rPr>
      </w:pPr>
      <w:r>
        <w:rPr>
          <w:rFonts w:ascii="仿宋" w:hAnsi="仿宋" w:eastAsia="仿宋" w:cs="仿宋"/>
          <w:spacing w:val="1"/>
          <w:sz w:val="31"/>
          <w:szCs w:val="31"/>
        </w:rPr>
        <w:t>Pour les inconvénients de la publication publique, mais pour assurer le Service de la Conférence générale pour les différents types de projets clés, les besoins en talents, s'il vous plaît être clairement étiqueté dans le formulaire d'appel, résumé individuel envoyé à la direction de la Conférence générale</w:t>
      </w:r>
    </w:p>
    <w:p>
      <w:pPr>
        <w:sectPr>
          <w:footerReference r:id="rId6" w:type="default"/>
          <w:pgSz w:w="11906" w:h="16839"/>
          <w:pgMar w:top="400" w:right="1519" w:bottom="1876" w:left="1593"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firstLine="3"/>
        <w:rPr>
          <w:rFonts w:ascii="仿宋" w:hAnsi="仿宋" w:eastAsia="仿宋" w:cs="仿宋"/>
          <w:sz w:val="31"/>
          <w:szCs w:val="31"/>
        </w:rPr>
      </w:pPr>
      <w:r>
        <w:rPr>
          <w:rFonts w:ascii="仿宋" w:hAnsi="仿宋" w:eastAsia="仿宋" w:cs="仿宋"/>
          <w:spacing w:val="-2"/>
          <w:sz w:val="31"/>
          <w:szCs w:val="31"/>
        </w:rPr>
        <w:t>Configurer la boîte aux lettres, le Comité d'organisation de la Conférence prendra d'autres moyens pour aider à trouver des partenaires appropriés, des talents exceptionnels.</w:t>
      </w:r>
    </w:p>
    <w:p>
      <w:pPr>
        <w:spacing w:before="1" w:line="239" w:lineRule="auto"/>
        <w:ind w:left="630"/>
        <w:rPr>
          <w:rFonts w:ascii="黑体" w:hAnsi="黑体" w:eastAsia="黑体" w:cs="黑体"/>
          <w:sz w:val="31"/>
          <w:szCs w:val="31"/>
        </w:rPr>
      </w:pPr>
      <w:r>
        <w:rPr>
          <w:rFonts w:ascii="黑体" w:hAnsi="黑体" w:eastAsia="黑体" w:cs="黑体"/>
          <w:spacing w:val="-2"/>
          <w:sz w:val="31"/>
          <w:szCs w:val="31"/>
        </w:rPr>
        <w:t>V. Critères de coût</w:t>
      </w:r>
    </w:p>
    <w:p>
      <w:pPr>
        <w:spacing w:before="159" w:line="333" w:lineRule="auto"/>
        <w:ind w:left="630" w:right="135" w:hanging="15"/>
        <w:rPr>
          <w:rFonts w:ascii="黑体" w:hAnsi="黑体" w:eastAsia="黑体" w:cs="黑体"/>
          <w:sz w:val="31"/>
          <w:szCs w:val="31"/>
        </w:rPr>
      </w:pPr>
      <w:r>
        <w:rPr>
          <w:rFonts w:ascii="Times New Roman" w:hAnsi="Times New Roman" w:eastAsia="Times New Roman" w:cs="Times New Roman"/>
          <w:spacing w:val="-1"/>
          <w:sz w:val="31"/>
          <w:szCs w:val="31"/>
        </w:rPr>
        <w:t>Les services fonctionnels de base du système EO sont gratuits et les services à valeur ajoutée sont cotés en fonction des besoins réels. Vi. Coordonnées</w:t>
      </w:r>
    </w:p>
    <w:p>
      <w:pPr>
        <w:spacing w:before="1" w:line="224" w:lineRule="auto"/>
        <w:ind w:left="621"/>
        <w:rPr>
          <w:rFonts w:ascii="仿宋" w:hAnsi="仿宋" w:eastAsia="仿宋" w:cs="仿宋"/>
          <w:sz w:val="31"/>
          <w:szCs w:val="31"/>
        </w:rPr>
      </w:pPr>
      <w:r>
        <w:rPr>
          <w:rFonts w:ascii="仿宋" w:hAnsi="仿宋" w:eastAsia="仿宋" w:cs="仿宋"/>
          <w:spacing w:val="1"/>
          <w:sz w:val="31"/>
          <w:szCs w:val="31"/>
        </w:rPr>
        <w:t>Personne à contacter: Wang Yu, Guo Yeon</w:t>
      </w:r>
    </w:p>
    <w:p>
      <w:pPr>
        <w:spacing w:before="184" w:line="501" w:lineRule="exact"/>
        <w:ind w:left="658"/>
        <w:rPr>
          <w:rFonts w:ascii="Times New Roman" w:hAnsi="Times New Roman" w:eastAsia="Times New Roman" w:cs="Times New Roman"/>
          <w:sz w:val="31"/>
          <w:szCs w:val="31"/>
        </w:rPr>
      </w:pPr>
      <w:r>
        <w:rPr>
          <w:rFonts w:ascii="仿宋" w:hAnsi="仿宋" w:eastAsia="仿宋" w:cs="仿宋"/>
          <w:spacing w:val="-1"/>
          <w:position w:val="13"/>
          <w:sz w:val="31"/>
          <w:szCs w:val="31"/>
        </w:rPr>
        <w:t>Téléphone: 010 - 58882487, 010 - 58882132</w:t>
      </w:r>
    </w:p>
    <w:p>
      <w:pPr>
        <w:spacing w:line="429" w:lineRule="exact"/>
        <w:ind w:left="635"/>
        <w:rPr>
          <w:rFonts w:ascii="Times New Roman" w:hAnsi="Times New Roman" w:eastAsia="Times New Roman" w:cs="Times New Roman"/>
          <w:sz w:val="31"/>
          <w:szCs w:val="31"/>
        </w:rPr>
      </w:pPr>
      <w:r>
        <w:rPr>
          <w:rFonts w:ascii="仿宋" w:hAnsi="仿宋" w:eastAsia="仿宋" w:cs="仿宋"/>
          <w:spacing w:val="-2"/>
          <w:position w:val="4"/>
          <w:sz w:val="31"/>
          <w:szCs w:val="31"/>
        </w:rPr>
        <w:t>Boîte aux lettres: EO@ciep.gov.cn</w:t>
      </w:r>
    </w:p>
    <w:p>
      <w:pPr>
        <w:sectPr>
          <w:footerReference r:id="rId7" w:type="default"/>
          <w:pgSz w:w="11906" w:h="16839"/>
          <w:pgMar w:top="400" w:right="1661" w:bottom="1876" w:left="1601" w:header="0" w:footer="1716" w:gutter="0"/>
          <w:cols w:space="720" w:num="1"/>
        </w:sectPr>
      </w:pPr>
    </w:p>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 w:val="54E3249D"/>
    <w:rsid w:val="636E387A"/>
    <w:rsid w:val="6A93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C3965628D8F6427CB8325347F038B72A</vt:lpwstr>
  </property>
</Properties>
</file>