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1" w:lineRule="auto"/>
        <w:ind w:left="2294" w:right="1195" w:hanging="1103"/>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Programme de mise en œuvre de l'Organisation du Congrès en ligne de la 21e édition du China International Talent Exchange</w:t>
      </w:r>
    </w:p>
    <w:bookmarkEnd w:id="0"/>
    <w:p>
      <w:pPr>
        <w:spacing w:line="387" w:lineRule="auto"/>
        <w:rPr>
          <w:rFonts w:ascii="Arial"/>
          <w:sz w:val="21"/>
        </w:rPr>
      </w:pPr>
    </w:p>
    <w:p>
      <w:pPr>
        <w:spacing w:before="101" w:line="333" w:lineRule="auto"/>
        <w:ind w:left="13" w:right="136" w:firstLine="612"/>
        <w:rPr>
          <w:rFonts w:ascii="仿宋" w:hAnsi="仿宋" w:eastAsia="仿宋" w:cs="仿宋"/>
          <w:sz w:val="31"/>
          <w:szCs w:val="31"/>
        </w:rPr>
      </w:pPr>
      <w:r>
        <w:rPr>
          <w:rFonts w:ascii="仿宋" w:hAnsi="仿宋" w:eastAsia="仿宋" w:cs="仿宋"/>
          <w:spacing w:val="-20"/>
          <w:sz w:val="31"/>
          <w:szCs w:val="31"/>
        </w:rPr>
        <w:t>Conformément au programme de travail général de la 21e Conférence internationale chinoise sur l'échange de talents, la Conférence continuera à fournir des services en ligne normalisés aux unités exposantes sous la forme d'une conférence en ligne.</w:t>
      </w:r>
    </w:p>
    <w:p>
      <w:pPr>
        <w:spacing w:line="513" w:lineRule="exact"/>
        <w:ind w:left="635"/>
        <w:rPr>
          <w:rFonts w:ascii="黑体" w:hAnsi="黑体" w:eastAsia="黑体" w:cs="黑体"/>
          <w:sz w:val="31"/>
          <w:szCs w:val="31"/>
        </w:rPr>
      </w:pPr>
      <w:r>
        <w:rPr>
          <w:rFonts w:ascii="黑体" w:hAnsi="黑体" w:eastAsia="黑体" w:cs="黑体"/>
          <w:spacing w:val="-1"/>
          <w:position w:val="4"/>
          <w:sz w:val="31"/>
          <w:szCs w:val="31"/>
        </w:rPr>
        <w:t>I. temps et forme</w:t>
      </w:r>
    </w:p>
    <w:p>
      <w:pPr>
        <w:spacing w:before="48" w:line="333" w:lineRule="auto"/>
        <w:ind w:left="14" w:right="4" w:firstLine="613"/>
        <w:rPr>
          <w:rFonts w:ascii="仿宋" w:hAnsi="仿宋" w:eastAsia="仿宋" w:cs="仿宋"/>
          <w:sz w:val="31"/>
          <w:szCs w:val="31"/>
        </w:rPr>
      </w:pPr>
      <w:r>
        <w:rPr>
          <w:rFonts w:ascii="仿宋" w:hAnsi="仿宋" w:eastAsia="仿宋" w:cs="仿宋"/>
          <w:spacing w:val="1"/>
          <w:sz w:val="31"/>
          <w:szCs w:val="31"/>
        </w:rPr>
        <w:t>Normalisation des services toute l'année, avec le site officiel de la Conférence comme plate - forme, la mise en place d'un Showroom virtuel, l'amarrage du projet, le recrutement en ligne et d'autres zones de services fonctionnels.</w:t>
      </w:r>
    </w:p>
    <w:p>
      <w:pPr>
        <w:spacing w:line="416" w:lineRule="exact"/>
        <w:ind w:left="635"/>
        <w:rPr>
          <w:rFonts w:ascii="黑体" w:hAnsi="黑体" w:eastAsia="黑体" w:cs="黑体"/>
          <w:sz w:val="31"/>
          <w:szCs w:val="31"/>
        </w:rPr>
      </w:pPr>
      <w:r>
        <w:rPr>
          <w:rFonts w:ascii="黑体" w:hAnsi="黑体" w:eastAsia="黑体" w:cs="黑体"/>
          <w:spacing w:val="-1"/>
          <w:position w:val="2"/>
          <w:sz w:val="31"/>
          <w:szCs w:val="31"/>
        </w:rPr>
        <w:t>II. Contenu principal</w:t>
      </w:r>
    </w:p>
    <w:p>
      <w:pPr>
        <w:spacing w:before="143" w:line="229" w:lineRule="auto"/>
        <w:ind w:left="655"/>
        <w:rPr>
          <w:rFonts w:ascii="楷体" w:hAnsi="楷体" w:eastAsia="楷体" w:cs="楷体"/>
          <w:sz w:val="31"/>
          <w:szCs w:val="31"/>
        </w:rPr>
      </w:pPr>
      <w:r>
        <w:rPr>
          <w:rFonts w:ascii="楷体" w:hAnsi="楷体" w:eastAsia="楷体" w:cs="楷体"/>
          <w:spacing w:val="21"/>
          <w:sz w:val="31"/>
          <w:szCs w:val="31"/>
        </w:rPr>
        <w:t>(i) Salle d'exposition virtuelle</w:t>
      </w:r>
    </w:p>
    <w:p>
      <w:pPr>
        <w:spacing w:before="181" w:line="333" w:lineRule="auto"/>
        <w:ind w:firstLine="640"/>
        <w:rPr>
          <w:rFonts w:ascii="楷体" w:hAnsi="楷体" w:eastAsia="楷体" w:cs="楷体"/>
          <w:sz w:val="31"/>
          <w:szCs w:val="31"/>
        </w:rPr>
      </w:pPr>
      <w:r>
        <w:rPr>
          <w:rFonts w:ascii="仿宋" w:hAnsi="仿宋" w:eastAsia="仿宋" w:cs="仿宋"/>
          <w:spacing w:val="10"/>
          <w:sz w:val="31"/>
          <w:szCs w:val="31"/>
        </w:rPr>
        <w:t>En combinaison avec le contenu de l'exposition hors ligne, l'Assemblée générale, le dessin, le texte, la voix, l'image et d'autres formes de présentation multimédia, à l'aide de la technologie de l'information 3D et d'autres moyens pour construire une salle d'exposition virtuelle de type Street View, inviter les unités d'exposition nationales et étrangères à organiser des expositions en ligne, se concentrer sur la démonstration des progrès et des résultats de la coopération internationale en matière de science, de technologie, d'innovation et d'échange international de talents, promouvoir les politiques, l'environnement Chef de file du Centre du Département concerné du Ministère des sciences et de la technologie, Département municipal des sciences et de la technologie de la province et du district (Comité, bureau) et unités de coopération connexes, mis en œuvre par le Centre international d'échange de talents de Shenzhen]</w:t>
      </w:r>
    </w:p>
    <w:p>
      <w:pPr>
        <w:spacing w:before="2" w:line="237" w:lineRule="auto"/>
        <w:ind w:left="655"/>
        <w:rPr>
          <w:rFonts w:ascii="楷体" w:hAnsi="楷体" w:eastAsia="楷体" w:cs="楷体"/>
          <w:sz w:val="31"/>
          <w:szCs w:val="31"/>
        </w:rPr>
      </w:pPr>
      <w:r>
        <w:rPr>
          <w:rFonts w:ascii="楷体" w:hAnsi="楷体" w:eastAsia="楷体" w:cs="楷体"/>
          <w:spacing w:val="21"/>
          <w:sz w:val="31"/>
          <w:szCs w:val="31"/>
        </w:rPr>
        <w:t>Ii) amarrage du projet</w:t>
      </w:r>
    </w:p>
    <w:p>
      <w:pPr>
        <w:spacing w:before="159" w:line="340" w:lineRule="auto"/>
        <w:ind w:right="2" w:firstLine="643"/>
        <w:rPr>
          <w:rFonts w:ascii="仿宋" w:hAnsi="仿宋" w:eastAsia="仿宋" w:cs="仿宋"/>
          <w:sz w:val="31"/>
          <w:szCs w:val="31"/>
        </w:rPr>
      </w:pPr>
      <w:r>
        <w:rPr>
          <w:rFonts w:ascii="仿宋" w:hAnsi="仿宋" w:eastAsia="仿宋" w:cs="仿宋"/>
          <w:spacing w:val="-2"/>
          <w:sz w:val="31"/>
          <w:szCs w:val="31"/>
        </w:rPr>
        <w:t>Le Congrès utilise le système d'échange et de négociation de talents à l'étranger (système EO) comme plate - forme pour publier des informations sur les projets d'innovation scientifique et technologique et l'offre et la demande de talents des établissements d'enseignement supérieur nationaux et étrangers, des instituts de recherche scientifique, des agences de ressources humaines, des entreprises d'innovation scientifique et technologique et des organisations d'experts nationales et étrangères.</w:t>
      </w:r>
    </w:p>
    <w:p>
      <w:pPr>
        <w:sectPr>
          <w:footerReference r:id="rId5" w:type="default"/>
          <w:pgSz w:w="11906" w:h="16839"/>
          <w:pgMar w:top="400" w:right="1461" w:bottom="1876" w:left="1592" w:header="0" w:footer="1716"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firstLine="17"/>
        <w:rPr>
          <w:rFonts w:ascii="楷体" w:hAnsi="楷体" w:eastAsia="楷体" w:cs="楷体"/>
          <w:sz w:val="31"/>
          <w:szCs w:val="31"/>
        </w:rPr>
      </w:pPr>
      <w:r>
        <w:rPr>
          <w:rFonts w:ascii="仿宋" w:hAnsi="仿宋" w:eastAsia="仿宋" w:cs="仿宋"/>
          <w:spacing w:val="8"/>
          <w:sz w:val="31"/>
          <w:szCs w:val="31"/>
        </w:rPr>
        <w:t>Et autour des domaines clés du développement économique et social, des industries clés, l'Organisation de l'activité de « Chang leading», combinée à des fonctions de service telles que la diffusion en direct de la tournée en ligne, l'affichage de la zone spéciale et d'autres, pour fournir un service d'amarrage complet, intelligent et précis à l'offre et à la demande. [+] Chef de file du Centre du Département concerné du Ministère des sciences et de la technologie, Département municipal des sciences et de la technologie de la province et du district (Comité, bureau) et unités de coopération connexes, mis en œuvre par le Centre international d'échange de talents de Shenzhen]</w:t>
      </w:r>
    </w:p>
    <w:p>
      <w:pPr>
        <w:spacing w:line="232" w:lineRule="auto"/>
        <w:ind w:left="654"/>
        <w:rPr>
          <w:rFonts w:ascii="楷体" w:hAnsi="楷体" w:eastAsia="楷体" w:cs="楷体"/>
          <w:sz w:val="31"/>
          <w:szCs w:val="31"/>
        </w:rPr>
      </w:pPr>
      <w:r>
        <w:rPr>
          <w:rFonts w:ascii="楷体" w:hAnsi="楷体" w:eastAsia="楷体" w:cs="楷体"/>
          <w:spacing w:val="21"/>
          <w:sz w:val="31"/>
          <w:szCs w:val="31"/>
        </w:rPr>
        <w:t>Iii) Recrutement en ligne</w:t>
      </w:r>
    </w:p>
    <w:p>
      <w:pPr>
        <w:spacing w:before="174" w:line="333" w:lineRule="auto"/>
        <w:ind w:right="62" w:firstLine="672"/>
        <w:rPr>
          <w:rFonts w:ascii="楷体" w:hAnsi="楷体" w:eastAsia="楷体" w:cs="楷体"/>
          <w:sz w:val="31"/>
          <w:szCs w:val="31"/>
        </w:rPr>
      </w:pPr>
      <w:r>
        <w:rPr>
          <w:rFonts w:ascii="仿宋" w:hAnsi="仿宋" w:eastAsia="仿宋" w:cs="仿宋"/>
          <w:spacing w:val="-4"/>
          <w:sz w:val="31"/>
          <w:szCs w:val="31"/>
        </w:rPr>
        <w:t>Avec le site officiel de l'Assemblée générale comme plate - forme, mettre en place une zone de recrutement pour les talents haut de gamme à l'étranger, les professionnels étrangers, les étudiants étrangers et les jeunes scientifiques en Chine, les talents de retour à la mer, les talents nationaux, tirer pleinement parti des avantages de la plate - forme de l'Assemblée, coopérer avec les agences de services de ressources humaines spécialisées, fournir des services de recrutement pragmatiques, efficaces et précis pour les besoins raffinés des unités d'employeurs. [+] Services de coopération pertinents]</w:t>
      </w:r>
    </w:p>
    <w:p>
      <w:pPr>
        <w:spacing w:before="1" w:line="230" w:lineRule="auto"/>
        <w:ind w:left="654"/>
        <w:rPr>
          <w:rFonts w:ascii="楷体" w:hAnsi="楷体" w:eastAsia="楷体" w:cs="楷体"/>
          <w:sz w:val="31"/>
          <w:szCs w:val="31"/>
        </w:rPr>
      </w:pPr>
      <w:r>
        <w:rPr>
          <w:rFonts w:ascii="楷体" w:hAnsi="楷体" w:eastAsia="楷体" w:cs="楷体"/>
          <w:spacing w:val="21"/>
          <w:sz w:val="31"/>
          <w:szCs w:val="31"/>
        </w:rPr>
        <w:t>Iv) Services en ligne</w:t>
      </w:r>
    </w:p>
    <w:p>
      <w:pPr>
        <w:spacing w:before="175" w:line="223" w:lineRule="auto"/>
        <w:ind w:left="637"/>
        <w:outlineLvl w:val="0"/>
        <w:rPr>
          <w:rFonts w:ascii="仿宋" w:hAnsi="仿宋" w:eastAsia="仿宋" w:cs="仿宋"/>
          <w:sz w:val="31"/>
          <w:szCs w:val="31"/>
        </w:rPr>
      </w:pPr>
      <w:r>
        <w:rPr>
          <w:rFonts w:ascii="Times New Roman" w:hAnsi="Times New Roman" w:eastAsia="Times New Roman" w:cs="Times New Roman"/>
          <w:b/>
          <w:bCs/>
          <w:spacing w:val="-1"/>
          <w:sz w:val="31"/>
          <w:szCs w:val="31"/>
        </w:rPr>
        <w:t>1. Enregistrement du système de connexion</w:t>
      </w:r>
    </w:p>
    <w:p>
      <w:pPr>
        <w:spacing w:before="186" w:line="333" w:lineRule="auto"/>
        <w:ind w:left="11" w:right="287" w:firstLine="617"/>
        <w:rPr>
          <w:rFonts w:ascii="仿宋" w:hAnsi="仿宋" w:eastAsia="仿宋" w:cs="仿宋"/>
          <w:sz w:val="31"/>
          <w:szCs w:val="31"/>
        </w:rPr>
      </w:pPr>
      <w:r>
        <w:rPr>
          <w:rFonts w:ascii="仿宋" w:hAnsi="仿宋" w:eastAsia="仿宋" w:cs="仿宋"/>
          <w:spacing w:val="1"/>
          <w:sz w:val="31"/>
          <w:szCs w:val="31"/>
        </w:rPr>
        <w:t>Construire un système de comptes de la plate - forme Internet officielle du Congrès, où les unités exposantes et les individus peuvent remplir les informations d'inscription, générer des laissez - passer numériques et avoir les autorisations correspondantes, selon les besoins. Une fois connecté, vous pouvez effectuer des opérations telles que la recherche d'informations, la publication d'informations, la négociation en ligne, la demande de publicité, etc. en fonction de différentes autorisations.</w:t>
      </w:r>
    </w:p>
    <w:p>
      <w:pPr>
        <w:spacing w:before="2" w:line="223" w:lineRule="auto"/>
        <w:ind w:left="624"/>
        <w:outlineLvl w:val="0"/>
        <w:rPr>
          <w:rFonts w:ascii="仿宋" w:hAnsi="仿宋" w:eastAsia="仿宋" w:cs="仿宋"/>
          <w:sz w:val="31"/>
          <w:szCs w:val="31"/>
        </w:rPr>
      </w:pPr>
      <w:r>
        <w:rPr>
          <w:rFonts w:ascii="Times New Roman" w:hAnsi="Times New Roman" w:eastAsia="Times New Roman" w:cs="Times New Roman"/>
          <w:b/>
          <w:bCs/>
          <w:spacing w:val="2"/>
          <w:sz w:val="31"/>
          <w:szCs w:val="31"/>
        </w:rPr>
        <w:t>2. Système de gestion de salle d'exposition</w:t>
      </w:r>
    </w:p>
    <w:p>
      <w:pPr>
        <w:spacing w:before="188" w:line="333" w:lineRule="auto"/>
        <w:ind w:left="11" w:right="287" w:firstLine="645"/>
        <w:rPr>
          <w:rFonts w:ascii="仿宋" w:hAnsi="仿宋" w:eastAsia="仿宋" w:cs="仿宋"/>
          <w:sz w:val="31"/>
          <w:szCs w:val="31"/>
        </w:rPr>
      </w:pPr>
      <w:r>
        <w:rPr>
          <w:rFonts w:ascii="仿宋" w:hAnsi="仿宋" w:eastAsia="仿宋" w:cs="仿宋"/>
          <w:spacing w:val="-1"/>
          <w:sz w:val="31"/>
          <w:szCs w:val="31"/>
        </w:rPr>
        <w:t>Autour de la préparation avant l'exposition, la gestion dans l'exposition, le service après l'exposition et d'autres processus d'affaires complets, la fourniture de services, y compris la réservation de stand en ligne avec la gestion du stand, la planification rationnelle du stand, les exigences techniques du stand, le téléchargement intégré du stand, La gestion du back - Office, etc.</w:t>
      </w:r>
    </w:p>
    <w:p>
      <w:pPr>
        <w:spacing w:before="1" w:line="224" w:lineRule="auto"/>
        <w:ind w:left="621"/>
        <w:outlineLvl w:val="0"/>
        <w:rPr>
          <w:rFonts w:ascii="仿宋" w:hAnsi="仿宋" w:eastAsia="仿宋" w:cs="仿宋"/>
          <w:sz w:val="31"/>
          <w:szCs w:val="31"/>
        </w:rPr>
      </w:pPr>
      <w:r>
        <w:rPr>
          <w:rFonts w:ascii="Times New Roman" w:hAnsi="Times New Roman" w:eastAsia="Times New Roman" w:cs="Times New Roman"/>
          <w:b/>
          <w:bCs/>
          <w:spacing w:val="2"/>
          <w:sz w:val="31"/>
          <w:szCs w:val="31"/>
        </w:rPr>
        <w:t>3. Système de conférence en ligne</w:t>
      </w:r>
    </w:p>
    <w:p>
      <w:pPr>
        <w:sectPr>
          <w:footerReference r:id="rId6" w:type="default"/>
          <w:pgSz w:w="11906" w:h="16839"/>
          <w:pgMar w:top="400" w:right="1311" w:bottom="1876" w:left="1593" w:header="0" w:footer="1716"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101" w:line="333" w:lineRule="auto"/>
        <w:ind w:right="76" w:firstLine="626"/>
        <w:rPr>
          <w:rFonts w:ascii="仿宋" w:hAnsi="仿宋" w:eastAsia="仿宋" w:cs="仿宋"/>
          <w:sz w:val="31"/>
          <w:szCs w:val="31"/>
        </w:rPr>
      </w:pPr>
      <w:r>
        <w:rPr>
          <w:rFonts w:ascii="仿宋" w:hAnsi="仿宋" w:eastAsia="仿宋" w:cs="仿宋"/>
          <w:spacing w:val="1"/>
          <w:sz w:val="31"/>
          <w:szCs w:val="31"/>
        </w:rPr>
        <w:t>En tant que complément utile à l'exposition hors ligne, le système de conférence en ligne fournira des services auxiliaires tels que la Conférence en ligne, la diffusion en direct en ligne, la communication en ligne et d'autres activités mises en œuvre par les organisations d'outre - mer qui ne peuvent pas participer à l'exposition en direct en raison de l'épidémie.</w:t>
      </w:r>
    </w:p>
    <w:p>
      <w:pPr>
        <w:spacing w:line="222" w:lineRule="auto"/>
        <w:ind w:left="618"/>
        <w:outlineLvl w:val="0"/>
        <w:rPr>
          <w:rFonts w:ascii="仿宋" w:hAnsi="仿宋" w:eastAsia="仿宋" w:cs="仿宋"/>
          <w:sz w:val="31"/>
          <w:szCs w:val="31"/>
        </w:rPr>
      </w:pPr>
      <w:r>
        <w:rPr>
          <w:rFonts w:ascii="Times New Roman" w:hAnsi="Times New Roman" w:eastAsia="Times New Roman" w:cs="Times New Roman"/>
          <w:b/>
          <w:bCs/>
          <w:spacing w:val="2"/>
          <w:sz w:val="31"/>
          <w:szCs w:val="31"/>
        </w:rPr>
        <w:t>4. Services de publicité</w:t>
      </w:r>
    </w:p>
    <w:p>
      <w:pPr>
        <w:spacing w:before="183" w:line="334" w:lineRule="auto"/>
        <w:ind w:left="7" w:firstLine="622"/>
        <w:rPr>
          <w:rFonts w:ascii="仿宋" w:hAnsi="仿宋" w:eastAsia="仿宋" w:cs="仿宋"/>
          <w:sz w:val="31"/>
          <w:szCs w:val="31"/>
        </w:rPr>
      </w:pPr>
      <w:r>
        <w:rPr>
          <w:rFonts w:ascii="仿宋" w:hAnsi="仿宋" w:eastAsia="仿宋" w:cs="仿宋"/>
          <w:spacing w:val="1"/>
          <w:sz w:val="31"/>
          <w:szCs w:val="31"/>
        </w:rPr>
        <w:t>Jouer pleinement le rôle de la plate - forme Internet de la Conférence en tant que fenêtre principale pour la promotion extérieure de la coopération internationale en matière de science, de technologie et d'innovation et l'échange de talents, en conjonction avec la demande locale pour fournir un programme de gestion de placement de médias complets, afin de fournir aux utilisateurs un guichet unique.</w:t>
      </w:r>
    </w:p>
    <w:p>
      <w:pPr>
        <w:spacing w:before="1" w:line="223" w:lineRule="auto"/>
        <w:ind w:left="621"/>
        <w:outlineLvl w:val="0"/>
        <w:rPr>
          <w:rFonts w:ascii="仿宋" w:hAnsi="仿宋" w:eastAsia="仿宋" w:cs="仿宋"/>
          <w:sz w:val="31"/>
          <w:szCs w:val="31"/>
        </w:rPr>
      </w:pPr>
      <w:r>
        <w:rPr>
          <w:rFonts w:ascii="Times New Roman" w:hAnsi="Times New Roman" w:eastAsia="Times New Roman" w:cs="Times New Roman"/>
          <w:b/>
          <w:bCs/>
          <w:spacing w:val="1"/>
          <w:sz w:val="31"/>
          <w:szCs w:val="31"/>
        </w:rPr>
        <w:t>5. Informations sur le Congrès</w:t>
      </w:r>
    </w:p>
    <w:p>
      <w:pPr>
        <w:spacing w:before="183" w:line="220" w:lineRule="auto"/>
        <w:ind w:left="629"/>
        <w:rPr>
          <w:rFonts w:ascii="仿宋" w:hAnsi="仿宋" w:eastAsia="仿宋" w:cs="仿宋"/>
          <w:sz w:val="31"/>
          <w:szCs w:val="31"/>
        </w:rPr>
      </w:pPr>
      <w:r>
        <w:rPr>
          <w:rFonts w:ascii="仿宋" w:hAnsi="仿宋" w:eastAsia="仿宋" w:cs="仿宋"/>
          <w:spacing w:val="1"/>
          <w:sz w:val="31"/>
          <w:szCs w:val="31"/>
        </w:rPr>
        <w:t>Centralisez les nouvelles, les notifications, les annonces et autres informations importantes relatives à l'Assemblée générale.</w:t>
      </w:r>
    </w:p>
    <w:p>
      <w:pPr>
        <w:spacing w:before="190" w:line="241" w:lineRule="auto"/>
        <w:ind w:left="629"/>
        <w:rPr>
          <w:rFonts w:ascii="黑体" w:hAnsi="黑体" w:eastAsia="黑体" w:cs="黑体"/>
          <w:sz w:val="31"/>
          <w:szCs w:val="31"/>
        </w:rPr>
      </w:pPr>
      <w:r>
        <w:rPr>
          <w:rFonts w:ascii="黑体" w:hAnsi="黑体" w:eastAsia="黑体" w:cs="黑体"/>
          <w:spacing w:val="-1"/>
          <w:sz w:val="31"/>
          <w:szCs w:val="31"/>
        </w:rPr>
        <w:t>Iii. Préparation de la participation</w:t>
      </w:r>
    </w:p>
    <w:p>
      <w:pPr>
        <w:spacing w:before="157" w:line="332" w:lineRule="auto"/>
        <w:ind w:left="1" w:firstLine="647"/>
        <w:rPr>
          <w:rFonts w:ascii="仿宋" w:hAnsi="仿宋" w:eastAsia="仿宋" w:cs="仿宋"/>
          <w:sz w:val="31"/>
          <w:szCs w:val="31"/>
        </w:rPr>
      </w:pPr>
      <w:r>
        <w:rPr>
          <w:rFonts w:ascii="楷体" w:hAnsi="楷体" w:eastAsia="楷体" w:cs="楷体"/>
          <w:spacing w:val="10"/>
          <w:sz w:val="31"/>
          <w:szCs w:val="31"/>
        </w:rPr>
        <w:t>(i) selon le déploiement général du Ministère de la science et de la technologie (Bureau national des experts étrangers) et du Gouvernement de la ville de Shenzhen, les questions de mise en œuvre de l'Organisation du Congrès en ligne relèvent de la responsabilité spécifique du Centre international d'échange de talents de Shenzhen, les détails doivent être consultés sur le site officiel du Congrès (www.ciep.gov.cn) et contacter le Groupe de travail de Shenzhen du Comité d'organisation du Congrès.</w:t>
      </w:r>
    </w:p>
    <w:p>
      <w:pPr>
        <w:spacing w:before="6" w:line="334" w:lineRule="auto"/>
        <w:ind w:left="7" w:right="76" w:firstLine="640"/>
        <w:rPr>
          <w:rFonts w:ascii="仿宋" w:hAnsi="仿宋" w:eastAsia="仿宋" w:cs="仿宋"/>
          <w:sz w:val="31"/>
          <w:szCs w:val="31"/>
        </w:rPr>
      </w:pPr>
      <w:r>
        <w:rPr>
          <w:rFonts w:ascii="楷体" w:hAnsi="楷体" w:eastAsia="楷体" w:cs="楷体"/>
          <w:spacing w:val="10"/>
          <w:sz w:val="31"/>
          <w:szCs w:val="31"/>
        </w:rPr>
        <w:t>(II) Inviter les unités concernées à participer activement à des activités telles que la salle d'exposition virtuelle, l'amarrage de projet, le recrutement en ligne, en tenant compte des besoins de l'industrie locale et de la situation réelle.</w:t>
      </w:r>
    </w:p>
    <w:p>
      <w:pPr>
        <w:spacing w:line="232" w:lineRule="auto"/>
        <w:ind w:left="641"/>
        <w:rPr>
          <w:rFonts w:ascii="黑体" w:hAnsi="黑体" w:eastAsia="黑体" w:cs="黑体"/>
          <w:sz w:val="31"/>
          <w:szCs w:val="31"/>
        </w:rPr>
      </w:pPr>
      <w:r>
        <w:rPr>
          <w:rFonts w:ascii="黑体" w:hAnsi="黑体" w:eastAsia="黑体" w:cs="黑体"/>
          <w:spacing w:val="-3"/>
          <w:sz w:val="31"/>
          <w:szCs w:val="31"/>
        </w:rPr>
        <w:t>Iv. Coordonnées</w:t>
      </w:r>
    </w:p>
    <w:p>
      <w:pPr>
        <w:spacing w:before="171" w:line="225" w:lineRule="auto"/>
        <w:ind w:left="622"/>
        <w:rPr>
          <w:rFonts w:ascii="仿宋" w:hAnsi="仿宋" w:eastAsia="仿宋" w:cs="仿宋"/>
          <w:sz w:val="31"/>
          <w:szCs w:val="31"/>
        </w:rPr>
      </w:pPr>
      <w:r>
        <w:rPr>
          <w:rFonts w:ascii="仿宋" w:hAnsi="仿宋" w:eastAsia="仿宋" w:cs="仿宋"/>
          <w:spacing w:val="1"/>
          <w:sz w:val="31"/>
          <w:szCs w:val="31"/>
        </w:rPr>
        <w:t>Personne à contacter: Deng Yungang, Ye Xiuwen</w:t>
      </w:r>
    </w:p>
    <w:p>
      <w:pPr>
        <w:spacing w:before="184" w:line="500" w:lineRule="exact"/>
        <w:ind w:left="660"/>
        <w:rPr>
          <w:rFonts w:ascii="Times New Roman" w:hAnsi="Times New Roman" w:eastAsia="Times New Roman" w:cs="Times New Roman"/>
          <w:sz w:val="31"/>
          <w:szCs w:val="31"/>
        </w:rPr>
      </w:pPr>
      <w:r>
        <w:rPr>
          <w:rFonts w:ascii="仿宋" w:hAnsi="仿宋" w:eastAsia="仿宋" w:cs="仿宋"/>
          <w:spacing w:val="-1"/>
          <w:position w:val="13"/>
          <w:sz w:val="31"/>
          <w:szCs w:val="31"/>
        </w:rPr>
        <w:t>Téléphone: 0755 - 81773205, 0755 - 81773047</w:t>
      </w:r>
    </w:p>
    <w:p>
      <w:pPr>
        <w:spacing w:line="429" w:lineRule="exact"/>
        <w:ind w:left="636"/>
        <w:rPr>
          <w:rFonts w:ascii="Times New Roman" w:hAnsi="Times New Roman" w:eastAsia="Times New Roman" w:cs="Times New Roman"/>
          <w:sz w:val="31"/>
          <w:szCs w:val="31"/>
        </w:rPr>
      </w:pPr>
      <w:r>
        <w:rPr>
          <w:rFonts w:ascii="仿宋" w:hAnsi="仿宋" w:eastAsia="仿宋" w:cs="仿宋"/>
          <w:spacing w:val="-2"/>
          <w:position w:val="4"/>
          <w:sz w:val="31"/>
          <w:szCs w:val="31"/>
        </w:rPr>
        <w:t>Boîte aux lettres: ciep2001@ciep.gov.cn</w:t>
      </w:r>
    </w:p>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3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3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080C528C"/>
    <w:rsid w:val="08B60D54"/>
    <w:rsid w:val="0CCE2B10"/>
    <w:rsid w:val="0DE819AF"/>
    <w:rsid w:val="145768B3"/>
    <w:rsid w:val="251E0AED"/>
    <w:rsid w:val="2802614E"/>
    <w:rsid w:val="4EBB043F"/>
    <w:rsid w:val="54E3249D"/>
    <w:rsid w:val="636E387A"/>
    <w:rsid w:val="6A93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39EF45351DB04493893CEF2B9A06DBE6</vt:lpwstr>
  </property>
</Properties>
</file>